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670. “小额贷广告，刷到的贷款”——线上贷款广告与冲动借贷研究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研究对象：接触过线上贷款广告（App/短视频）的用户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核心问题/变量：贷款广告推送频次、额度利率误导感知、冲动借贷经历、以贷养贷风险、金融素养与监管期待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H1：贷款广告推送频次、额度利率误导感知显著影响金融素养与监管期待（待验证）；H2：不同人群（年龄/收入/城市等级）在上述关系中存在调节作用（待验证）。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✅互联网金融广告整治（市场监管总局、金融监管）；🔶网络贷款投诉数据（消协须下载核验）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青年社群问卷+金融监管数据；获奖黑名单核对：近三年无贷款广告获奖题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✅互联网金融广告整治（市场监管总局、金融监管）；🔶网络贷款投诉数据（消协须下载核验）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