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693. “养老金第三支柱，个人养老金账户”——个人养老金开户与缴存意愿研究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研究对象：开通个人养老金账户的城镇职工及未开户者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核心问题/变量：开户动机（节税/养老规划）、缴存金额与频率、产品选择（储蓄/基金/保险）、税延激励感知、未开户障碍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H1：开户动机（节税/养老规划）、缴存金额与频率显著影响未开户障碍（待验证）；H2：不同人群（年龄/收入/城市等级）在上述关系中存在调节作用（待验证）。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✅个人养老金制度（人社部、财政部等）；🔶开户缴存数据（人社部发布须下载核验）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银行渠道问卷+人社数据；获奖黑名单核对：近三年无个人养老金获奖题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✅个人养老金制度（人社部、财政部等）；🔶开户缴存数据（人社部发布须下载核验）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