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738. “消费贷利率战，借钱也划算”——消费贷利率下调与居民借贷行为研究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研究对象：使用消费贷（利率下调后）的年轻人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核心问题/变量：消费贷利率感知（2字头）、借贷用途（装修/买车/还信用卡）、额度与期限选择、与现金贷对比、理性借贷意识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H1：消费贷利率感知（2字头）、借贷用途（装修/买车/还信用卡）显著影响理性借贷意识（待验证）；H2：不同人群（年龄/收入/城市等级）在上述关系中存在调节作用（待验证）。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🔶消费贷利率下调报道（财经媒体须下载核验）；✅消费金融监管政策（金融监管总局）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银行/平台渠道问卷；获奖黑名单核对：近三年无消费贷利率获奖题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🔶消费贷利率下调报道（财经媒体须下载核验）；✅消费金融监管政策（金融监管总局）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