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789. “数字人民币硬钱包，适老支付”——数字人民币硬钱包（卡片、手环）使用研究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研究对象：使用数字人民币硬钱包（适老/无手机支付）的群体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核心问题/变量：硬钱包使用场景（公交/商超）、与App软钱包对比、适老便捷性（不依赖手机）、充值使用流程、推广接受度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H1：硬钱包使用场景（公交/商超）、与App软钱包对比显著影响推广接受度（待验证）；H2：不同人群（年龄/收入/城市等级）在上述关系中存在调节作用（待验证）。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✅数字人民币硬钱包试点（央行）；🔶硬钱包应用数据（须下载核验）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试点城市问卷+银行访谈；获奖黑名单核对：近三年无硬钱包获奖题（区别于330/581数字人民币）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✅数字人民币硬钱包试点（央行）；🔶硬钱包应用数据（须下载核验）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