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818. “银行卡整顿，沉睡账户清理”——银行沉睡账户、睡眠卡清理与用户权益研究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研究对象：收到银行“沉睡账户”清理/取款限额通知的用户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核心问题/变量：睡眠卡清理知晓、小额账户限额（非柜面交易）影响、账户查询与激活流程、反诈（断卡行动）关联认知、权益保障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睡眠卡清理知晓、小额账户限额（非柜面交易）影响（权益保障）之间存在可检验的关系，且受群体差异（年龄/收入/地区/身份）调节（待验证）；H2：睡眠卡清理知晓、小额账户限额（非柜面交易）影响是影响权益保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🔶银行清理睡眠账户通知与政策（金融监管总局）；🔶断卡行动报道（须下载核验）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银行渠道问卷+客服访谈；获奖黑名单核对：近三年无沉睡账户获奖题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🔶银行清理睡眠账户通知与政策（金融监管总局）；🔶断卡行动报道（须下载核验）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