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833. “存款特种兵，跨城存钱”——跨城存款（利率价差）现象与居民储蓄研究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研究对象：为高利率跨城存款（存款特种兵）的储户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核心问题/变量：跨城存款动机（利率差）、地域利率差异感知（大行vs小行）、存款金额与交通成本、存款保险认知（50万赔付）、渠道（线上）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H1：跨城存款动机（利率差）、地域利率差异感知（大行vs小行）显著影响渠道（线上）（待验证）；H2：不同人群（年龄/收入/城市等级）在上述关系中存在调节作用（待验证）。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🔶存款利率定价自律（市场利率定价自律机制）；🔶跨城存款现象报道（财经媒体须下载核验）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储户社群问卷+银行访谈；获奖黑名单核对：近三年无跨城存款获奖题（区别于629利率下行）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🔶存款利率定价自律（市场利率定价自律机制）；🔶跨城存款现象报道（财经媒体须下载核验）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