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866. “黄金回收热，变现还是踩坑”——黄金回收（换购、变现）消费与陷阱研究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研究对象：参与黄金回收/以旧换新的消费者（含被坑经历）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核心问题/变量：黄金回收动机（金价高位变现）、回收价格（克减/损耗）、虚报高价引流陷阱、称重/烧金猫腻、正规渠道（银行/金店）选择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H1：黄金回收动机（金价高位变现）、回收价格（克减/损耗）显著影响正规渠道（银行/金店）选择（待验证）；H2：不同人群（年龄/收入/城市等级）在上述关系中存在调节作用（待验证）。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🔶黄金回收乱象整治报道（市场监管总局须下载核验）；✅贵金属回收规范（中国人民银行）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黄金门店渠道+消费者问卷；获奖黑名单核对：近三年无黄金回收获奖题（区别于585金豆投资）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🔶黄金回收乱象整治报道（市场监管总局须下载核验）；✅贵金属回收规范（中国人民银行）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