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885. “ETF联接基金定投，小白理财”——指数基金、ETF定投（新手理财）消费研究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研究对象：开始定投指数基金/ETF（含投教课程）的年轻投资者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核心问题/变量：定投动机（强制储蓄/财务自由）、投教内容（自媒体）影响、止盈止损执行、A股波动体验、亏损心理、持续定投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定投动机（强制储蓄/财务自由）、投教内容（自媒体）影响（持续定投）之间存在可检验的关系，且受群体差异（年龄/收入/地区/身份）调节（待验证）；H2：定投动机（强制储蓄/财务自由）、投教内容（自媒体）影响是影响持续定投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🔶指数基金与ETF发展数据（中基协须下载核验）；✅投资者教育与金融素养政策（证监会）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基金平台数据+投资者问卷；获奖黑名单核对：近三年无ETF定投获奖题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🔶指数基金与ETF发展数据（中基协须下载核验）；✅投资者教育与金融素养政策（证监会）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