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965. “黄金积存，中产压舱石”——黄金积存（积存金）投资消费研究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研究对象：办理黄金积存（工行如意金/积存金类）的投资者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核心问题/变量：积存金选择动机（抗通胀/强制储蓄）、定投积存习惯、金价波动心态、与其他黄金形式（金豆/纸黄金）对比、赎回变现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H1：积存金选择动机（抗通胀/强制储蓄）、定投积存习惯显著影响赎回变现（待验证）；H2：不同人群（年龄/收入/城市等级）在上述关系中存在调节作用（待验证）。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🔶黄金积存业务规范（央行、金融监管总局）；🔶黄金投资数据（须下载核验）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银行渠道问卷+投资者访谈；获奖黑名单核对：近三年无黄金积存获奖题（区别于585金豆/866回收）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🔶黄金积存业务规范（央行、金融监管总局）；🔶黄金投资数据（须下载核验）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