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7BD" w:rsidRDefault="00DD47BD" w:rsidP="00DD47BD">
      <w:pPr>
        <w:pStyle w:val="Nosaukums"/>
        <w:jc w:val="center"/>
      </w:pPr>
    </w:p>
    <w:p w:rsidR="00DD47BD" w:rsidRDefault="00DD47BD" w:rsidP="00DD47BD">
      <w:pPr>
        <w:pStyle w:val="Nosaukums"/>
        <w:jc w:val="center"/>
      </w:pPr>
    </w:p>
    <w:p w:rsidR="00DD47BD" w:rsidRDefault="00DD47BD" w:rsidP="00DD47BD">
      <w:pPr>
        <w:pStyle w:val="Nosaukums"/>
        <w:jc w:val="center"/>
      </w:pPr>
      <w:r>
        <w:t>Risk and Return Characteristics of Listed Private Equity Investments in Germany</w:t>
      </w:r>
    </w:p>
    <w:p w:rsidR="00DD47BD" w:rsidRDefault="00DD47BD" w:rsidP="00DD47BD">
      <w:pPr>
        <w:pStyle w:val="Heading"/>
        <w:jc w:val="center"/>
        <w:rPr>
          <w:sz w:val="32"/>
          <w:szCs w:val="32"/>
        </w:rPr>
      </w:pPr>
    </w:p>
    <w:p w:rsidR="00DD47BD" w:rsidRDefault="00DD47BD" w:rsidP="00DD47BD">
      <w:pPr>
        <w:pStyle w:val="BodyTimes"/>
      </w:pPr>
    </w:p>
    <w:p w:rsidR="00DD47BD" w:rsidRDefault="00DD47BD" w:rsidP="00DD47BD">
      <w:pPr>
        <w:pStyle w:val="Apakvirsraksts"/>
      </w:pPr>
    </w:p>
    <w:p w:rsidR="00DD47BD" w:rsidRDefault="00DD47BD" w:rsidP="00DD47BD">
      <w:pPr>
        <w:pStyle w:val="BodyTimes"/>
      </w:pPr>
    </w:p>
    <w:p w:rsidR="00DD47BD" w:rsidRDefault="00DD47BD" w:rsidP="00DD47BD">
      <w:pPr>
        <w:pStyle w:val="Heading"/>
        <w:rPr>
          <w:sz w:val="32"/>
          <w:szCs w:val="32"/>
        </w:rPr>
      </w:pPr>
    </w:p>
    <w:p w:rsidR="00DD47BD" w:rsidRDefault="00DD47BD" w:rsidP="00DD47BD">
      <w:pPr>
        <w:pStyle w:val="BodyTimes"/>
        <w:jc w:val="right"/>
        <w:rPr>
          <w:sz w:val="32"/>
          <w:szCs w:val="32"/>
        </w:rPr>
      </w:pPr>
      <w:r>
        <w:rPr>
          <w:sz w:val="32"/>
          <w:szCs w:val="32"/>
        </w:rPr>
        <w:t>Group 28:</w:t>
      </w:r>
    </w:p>
    <w:p w:rsidR="00DD47BD" w:rsidRDefault="00DD47BD" w:rsidP="00DD47BD">
      <w:pPr>
        <w:pStyle w:val="BodyTimes"/>
        <w:jc w:val="right"/>
        <w:rPr>
          <w:sz w:val="32"/>
          <w:szCs w:val="32"/>
        </w:rPr>
      </w:pPr>
      <w:proofErr w:type="spellStart"/>
      <w:r>
        <w:rPr>
          <w:sz w:val="32"/>
          <w:szCs w:val="32"/>
        </w:rPr>
        <w:t>L</w:t>
      </w:r>
      <w:r>
        <w:rPr>
          <w:rFonts w:hAnsi="Times"/>
          <w:sz w:val="32"/>
          <w:szCs w:val="32"/>
        </w:rPr>
        <w:t>ā</w:t>
      </w:r>
      <w:r>
        <w:rPr>
          <w:sz w:val="32"/>
          <w:szCs w:val="32"/>
        </w:rPr>
        <w:t>sma</w:t>
      </w:r>
      <w:proofErr w:type="spellEnd"/>
      <w:r>
        <w:rPr>
          <w:sz w:val="32"/>
          <w:szCs w:val="32"/>
        </w:rPr>
        <w:t xml:space="preserve"> </w:t>
      </w:r>
      <w:proofErr w:type="spellStart"/>
      <w:r>
        <w:rPr>
          <w:sz w:val="32"/>
          <w:szCs w:val="32"/>
        </w:rPr>
        <w:t>Dinvalde</w:t>
      </w:r>
      <w:proofErr w:type="spellEnd"/>
    </w:p>
    <w:p w:rsidR="00DD47BD" w:rsidRDefault="00DD47BD" w:rsidP="00DD47BD">
      <w:pPr>
        <w:pStyle w:val="BodyTimes"/>
        <w:jc w:val="right"/>
        <w:rPr>
          <w:sz w:val="32"/>
          <w:szCs w:val="32"/>
        </w:rPr>
      </w:pPr>
      <w:proofErr w:type="spellStart"/>
      <w:r>
        <w:rPr>
          <w:sz w:val="32"/>
          <w:szCs w:val="32"/>
        </w:rPr>
        <w:t>Kalvis</w:t>
      </w:r>
      <w:proofErr w:type="spellEnd"/>
      <w:r>
        <w:rPr>
          <w:sz w:val="32"/>
          <w:szCs w:val="32"/>
        </w:rPr>
        <w:t xml:space="preserve"> </w:t>
      </w:r>
      <w:proofErr w:type="spellStart"/>
      <w:r>
        <w:rPr>
          <w:sz w:val="32"/>
          <w:szCs w:val="32"/>
        </w:rPr>
        <w:t>Kalni</w:t>
      </w:r>
      <w:r>
        <w:rPr>
          <w:rFonts w:hAnsi="Times"/>
          <w:sz w:val="32"/>
          <w:szCs w:val="32"/>
        </w:rPr>
        <w:t>ņš</w:t>
      </w:r>
      <w:proofErr w:type="spellEnd"/>
    </w:p>
    <w:p w:rsidR="00DD47BD" w:rsidRDefault="00DD47BD" w:rsidP="00DD47BD">
      <w:pPr>
        <w:pStyle w:val="BodyTimes"/>
        <w:jc w:val="right"/>
        <w:rPr>
          <w:sz w:val="32"/>
          <w:szCs w:val="32"/>
        </w:rPr>
      </w:pPr>
      <w:proofErr w:type="spellStart"/>
      <w:r>
        <w:rPr>
          <w:sz w:val="32"/>
          <w:szCs w:val="32"/>
        </w:rPr>
        <w:t>Rasmuss</w:t>
      </w:r>
      <w:proofErr w:type="spellEnd"/>
      <w:r>
        <w:rPr>
          <w:sz w:val="32"/>
          <w:szCs w:val="32"/>
        </w:rPr>
        <w:t xml:space="preserve"> </w:t>
      </w:r>
      <w:proofErr w:type="spellStart"/>
      <w:r>
        <w:rPr>
          <w:sz w:val="32"/>
          <w:szCs w:val="32"/>
        </w:rPr>
        <w:t>Filips</w:t>
      </w:r>
      <w:proofErr w:type="spellEnd"/>
      <w:r>
        <w:rPr>
          <w:sz w:val="32"/>
          <w:szCs w:val="32"/>
        </w:rPr>
        <w:t xml:space="preserve"> </w:t>
      </w:r>
      <w:proofErr w:type="spellStart"/>
      <w:r>
        <w:rPr>
          <w:sz w:val="32"/>
          <w:szCs w:val="32"/>
        </w:rPr>
        <w:t>Geks</w:t>
      </w:r>
      <w:proofErr w:type="spellEnd"/>
    </w:p>
    <w:p w:rsidR="00DD47BD" w:rsidRDefault="00DD47BD" w:rsidP="00DD47BD">
      <w:pPr>
        <w:pStyle w:val="BodyTimes"/>
        <w:jc w:val="right"/>
        <w:rPr>
          <w:sz w:val="32"/>
          <w:szCs w:val="32"/>
        </w:rPr>
      </w:pPr>
      <w:r>
        <w:rPr>
          <w:sz w:val="32"/>
          <w:szCs w:val="32"/>
        </w:rPr>
        <w:t xml:space="preserve">Raitis </w:t>
      </w:r>
      <w:proofErr w:type="spellStart"/>
      <w:r>
        <w:rPr>
          <w:sz w:val="32"/>
          <w:szCs w:val="32"/>
        </w:rPr>
        <w:t>St</w:t>
      </w:r>
      <w:r>
        <w:rPr>
          <w:rFonts w:hAnsi="Times"/>
          <w:sz w:val="32"/>
          <w:szCs w:val="32"/>
        </w:rPr>
        <w:t>ū</w:t>
      </w:r>
      <w:r>
        <w:rPr>
          <w:sz w:val="32"/>
          <w:szCs w:val="32"/>
        </w:rPr>
        <w:t>rmanis</w:t>
      </w:r>
      <w:proofErr w:type="spellEnd"/>
    </w:p>
    <w:p w:rsidR="00DD47BD" w:rsidRDefault="00DD47BD" w:rsidP="00DD47BD">
      <w:pPr>
        <w:pStyle w:val="BodyTimes"/>
        <w:jc w:val="right"/>
        <w:rPr>
          <w:sz w:val="40"/>
          <w:szCs w:val="40"/>
        </w:rPr>
      </w:pPr>
    </w:p>
    <w:p w:rsidR="00DD47BD" w:rsidRDefault="00DD47BD" w:rsidP="00DD47BD">
      <w:pPr>
        <w:pStyle w:val="BodyTimes"/>
        <w:jc w:val="right"/>
        <w:rPr>
          <w:sz w:val="40"/>
          <w:szCs w:val="40"/>
        </w:rPr>
      </w:pPr>
    </w:p>
    <w:p w:rsidR="00DD47BD" w:rsidRDefault="00DD47BD" w:rsidP="00DD47BD">
      <w:pPr>
        <w:pStyle w:val="Apakvirsraksts"/>
        <w:spacing w:line="480" w:lineRule="auto"/>
        <w:jc w:val="center"/>
        <w:rPr>
          <w:sz w:val="44"/>
          <w:szCs w:val="44"/>
        </w:rPr>
      </w:pPr>
      <w:r>
        <w:rPr>
          <w:sz w:val="44"/>
          <w:szCs w:val="44"/>
        </w:rPr>
        <w:t>Financial Economics</w:t>
      </w:r>
    </w:p>
    <w:p w:rsidR="00DD47BD" w:rsidRDefault="00DD47BD" w:rsidP="00DD47BD">
      <w:pPr>
        <w:pStyle w:val="Apakvirsraksts"/>
        <w:spacing w:line="360" w:lineRule="auto"/>
        <w:jc w:val="center"/>
        <w:rPr>
          <w:sz w:val="32"/>
          <w:szCs w:val="32"/>
        </w:rPr>
      </w:pPr>
      <w:r>
        <w:rPr>
          <w:sz w:val="32"/>
          <w:szCs w:val="32"/>
        </w:rPr>
        <w:t>Stockholm School of Economics</w:t>
      </w:r>
    </w:p>
    <w:p w:rsidR="00DD47BD" w:rsidRDefault="00DD47BD" w:rsidP="00DD47BD">
      <w:pPr>
        <w:pStyle w:val="Apakvirsraksts"/>
        <w:jc w:val="center"/>
        <w:rPr>
          <w:sz w:val="32"/>
          <w:szCs w:val="32"/>
        </w:rPr>
      </w:pPr>
      <w:r>
        <w:rPr>
          <w:sz w:val="32"/>
          <w:szCs w:val="32"/>
        </w:rPr>
        <w:t>March 2, 2015</w:t>
      </w:r>
    </w:p>
    <w:p w:rsidR="00DD47BD" w:rsidRDefault="00DD47BD" w:rsidP="00DD47BD">
      <w:pPr>
        <w:rPr>
          <w:rStyle w:val="Grmatasnosaukums"/>
          <w:rFonts w:ascii="Times New Roman" w:eastAsiaTheme="majorEastAsia" w:hAnsi="Times New Roman" w:cstheme="majorBidi"/>
          <w:b w:val="0"/>
          <w:bCs w:val="0"/>
          <w:iCs/>
          <w:color w:val="000000" w:themeColor="text1"/>
          <w:sz w:val="32"/>
          <w:szCs w:val="32"/>
        </w:rPr>
      </w:pPr>
    </w:p>
    <w:p w:rsidR="00DD47BD" w:rsidRDefault="00DD47BD" w:rsidP="00A15325">
      <w:pPr>
        <w:pStyle w:val="Virsraksts4"/>
        <w:rPr>
          <w:rStyle w:val="Grmatasnosaukums"/>
          <w:sz w:val="32"/>
          <w:szCs w:val="32"/>
        </w:rPr>
      </w:pPr>
    </w:p>
    <w:p w:rsidR="00DD47BD" w:rsidRDefault="00DD47BD" w:rsidP="00DD47BD">
      <w:pPr>
        <w:rPr>
          <w:rStyle w:val="Grmatasnosaukums"/>
          <w:rFonts w:ascii="Times New Roman" w:eastAsiaTheme="majorEastAsia" w:hAnsi="Times New Roman" w:cstheme="majorBidi"/>
          <w:b w:val="0"/>
          <w:bCs w:val="0"/>
          <w:iCs/>
          <w:color w:val="000000" w:themeColor="text1"/>
          <w:sz w:val="32"/>
          <w:szCs w:val="32"/>
        </w:rPr>
      </w:pPr>
      <w:r>
        <w:rPr>
          <w:rStyle w:val="Grmatasnosaukums"/>
          <w:sz w:val="32"/>
          <w:szCs w:val="32"/>
        </w:rPr>
        <w:br w:type="page"/>
      </w:r>
    </w:p>
    <w:p w:rsidR="0061569B" w:rsidRPr="00DD47BD" w:rsidRDefault="00A15325" w:rsidP="00DD47BD">
      <w:pPr>
        <w:pStyle w:val="Virsraksts4"/>
        <w:rPr>
          <w:b w:val="0"/>
          <w:bCs w:val="0"/>
          <w:smallCaps/>
          <w:spacing w:val="5"/>
          <w:sz w:val="32"/>
          <w:szCs w:val="32"/>
        </w:rPr>
      </w:pPr>
      <w:r w:rsidRPr="00A52D00">
        <w:rPr>
          <w:rStyle w:val="Grmatasnosaukums"/>
          <w:sz w:val="32"/>
          <w:szCs w:val="32"/>
        </w:rPr>
        <w:lastRenderedPageBreak/>
        <w:t>Introduction</w:t>
      </w:r>
    </w:p>
    <w:p w:rsidR="0061569B" w:rsidRDefault="0061569B" w:rsidP="0061569B">
      <w:pPr>
        <w:pStyle w:val="Body"/>
        <w:spacing w:line="360" w:lineRule="auto"/>
      </w:pPr>
      <w:r>
        <w:rPr>
          <w:rFonts w:hAnsi="Helvetica"/>
        </w:rPr>
        <w:t> </w:t>
      </w:r>
    </w:p>
    <w:p w:rsidR="0061569B" w:rsidRDefault="0061569B" w:rsidP="0061569B">
      <w:pPr>
        <w:pStyle w:val="Body"/>
        <w:spacing w:line="360" w:lineRule="auto"/>
        <w:rPr>
          <w:rFonts w:ascii="Times" w:eastAsia="Times" w:hAnsi="Times" w:cs="Times"/>
        </w:rPr>
      </w:pPr>
      <w:r>
        <w:rPr>
          <w:lang w:val="en-US"/>
        </w:rPr>
        <w:t xml:space="preserve">The importance of private equity (PE) as an alternative investment class has significantly increased over the years. According to </w:t>
      </w:r>
      <w:proofErr w:type="spellStart"/>
      <w:r>
        <w:rPr>
          <w:lang w:val="en-US"/>
        </w:rPr>
        <w:t>Prequin</w:t>
      </w:r>
      <w:proofErr w:type="spellEnd"/>
      <w:r>
        <w:rPr>
          <w:lang w:val="en-US"/>
        </w:rPr>
        <w:t xml:space="preserve">, over $3.2 trillion have been raised globally for PE investment (Brown, C., &amp; </w:t>
      </w:r>
      <w:proofErr w:type="spellStart"/>
      <w:r>
        <w:rPr>
          <w:lang w:val="en-US"/>
        </w:rPr>
        <w:t>Kra</w:t>
      </w:r>
      <w:proofErr w:type="spellEnd"/>
      <w:r>
        <w:rPr>
          <w:rFonts w:hAnsi="Helvetica"/>
        </w:rPr>
        <w:t>̈</w:t>
      </w:r>
      <w:r>
        <w:rPr>
          <w:lang w:val="sv-SE"/>
        </w:rPr>
        <w:t>ussl, R.</w:t>
      </w:r>
      <w:r>
        <w:t xml:space="preserve">, </w:t>
      </w:r>
      <w:r>
        <w:rPr>
          <w:lang w:val="en-US"/>
        </w:rPr>
        <w:t>2012). Early success of the industry has led to a rapid growth of from $20 billion in 1990 to $500 billion in the US alone (</w:t>
      </w:r>
      <w:proofErr w:type="spellStart"/>
      <w:r>
        <w:rPr>
          <w:lang w:val="en-US"/>
        </w:rPr>
        <w:t>Jegadeesh</w:t>
      </w:r>
      <w:proofErr w:type="spellEnd"/>
      <w:r>
        <w:rPr>
          <w:lang w:val="en-US"/>
        </w:rPr>
        <w:t>, N., Kr</w:t>
      </w:r>
      <w:r>
        <w:rPr>
          <w:rFonts w:hAnsi="Helvetica"/>
        </w:rPr>
        <w:t>ä</w:t>
      </w:r>
      <w:r>
        <w:rPr>
          <w:lang w:val="sv-SE"/>
        </w:rPr>
        <w:t>ussl R. &amp; Pollet, J.</w:t>
      </w:r>
      <w:r>
        <w:t>, 2009)</w:t>
      </w:r>
      <w:r>
        <w:rPr>
          <w:lang w:val="en-US"/>
        </w:rPr>
        <w:t>. Even though the traditional form of PE investments through limited partnerships (LPs) is still the most common, over the last few years there has been a significant increase in the number of PE firms interested in public listing. Listed private equity (LPE) companies have existed in Europe already since 1940s, yet only recently have they surged in popularity.</w:t>
      </w:r>
      <w:r>
        <w:br/>
      </w:r>
      <w:r>
        <w:rPr>
          <w:lang w:val="en-US"/>
        </w:rPr>
        <w:t>Even despite the rapid growth of the industry the characteristics of risk and return for PE investments are not very well understood (Kr</w:t>
      </w:r>
      <w:r>
        <w:rPr>
          <w:rFonts w:hAnsi="Helvetica"/>
        </w:rPr>
        <w:t>ä</w:t>
      </w:r>
      <w:r>
        <w:rPr>
          <w:lang w:val="sv-SE"/>
        </w:rPr>
        <w:t>ussl R.</w:t>
      </w:r>
      <w:r>
        <w:t>,</w:t>
      </w:r>
      <w:r>
        <w:rPr>
          <w:lang w:val="nl-NL"/>
        </w:rPr>
        <w:t xml:space="preserve"> Jegadeesh, N.</w:t>
      </w:r>
      <w:r>
        <w:t xml:space="preserve"> </w:t>
      </w:r>
      <w:r>
        <w:rPr>
          <w:lang w:val="en-US"/>
        </w:rPr>
        <w:t xml:space="preserve">&amp; </w:t>
      </w:r>
      <w:proofErr w:type="spellStart"/>
      <w:r>
        <w:rPr>
          <w:lang w:val="en-US"/>
        </w:rPr>
        <w:t>Pollet</w:t>
      </w:r>
      <w:proofErr w:type="spellEnd"/>
      <w:r>
        <w:rPr>
          <w:lang w:val="en-US"/>
        </w:rPr>
        <w:t>, J., 2009). Various studies indicate opposite conclusions regarding the comparison between market and PE performance.</w:t>
      </w:r>
      <w:r>
        <w:br/>
      </w:r>
      <w:r>
        <w:br/>
      </w:r>
      <w:r>
        <w:rPr>
          <w:lang w:val="en-US"/>
        </w:rPr>
        <w:t xml:space="preserve">For the purpose of research, there are various factors that make risk and return performance estimation problematic. The most common problem for performance estimation in traditional PE investments is lack of availability of interim valuations. Since they are </w:t>
      </w:r>
      <w:proofErr w:type="gramStart"/>
      <w:r>
        <w:rPr>
          <w:lang w:val="en-US"/>
        </w:rPr>
        <w:t>hardly never</w:t>
      </w:r>
      <w:proofErr w:type="gramEnd"/>
      <w:r>
        <w:rPr>
          <w:lang w:val="en-US"/>
        </w:rPr>
        <w:t xml:space="preserve"> traded on secondary markets, lack of market prices and limited liquidity make almost any conventional estimation methods very (</w:t>
      </w:r>
      <w:proofErr w:type="spellStart"/>
      <w:r>
        <w:rPr>
          <w:lang w:val="en-US"/>
        </w:rPr>
        <w:t>Bilo</w:t>
      </w:r>
      <w:proofErr w:type="spellEnd"/>
      <w:r>
        <w:t xml:space="preserve"> et al., 2005). </w:t>
      </w:r>
      <w:r>
        <w:br/>
      </w:r>
      <w:r>
        <w:rPr>
          <w:lang w:val="en-US"/>
        </w:rPr>
        <w:t xml:space="preserve">For investors, LPE as alternative to traditional PE provides more liquidity, more flexible investment policy, greater accessibility. For the purpose of research, LPE provide more consistent and reliable data available for risk and return profile analysis. </w:t>
      </w:r>
      <w:r>
        <w:br/>
      </w:r>
      <w:r>
        <w:br/>
      </w:r>
      <w:r>
        <w:rPr>
          <w:lang w:val="en-US"/>
        </w:rPr>
        <w:t>Even though the academic literature regarding LPE has is not very developed, a number of researchers such as Bergmann</w:t>
      </w:r>
      <w:r>
        <w:t xml:space="preserve"> et al. (</w:t>
      </w:r>
      <w:r>
        <w:rPr>
          <w:lang w:val="en-US"/>
        </w:rPr>
        <w:t>2010), Cumming, Fleming and Johan (2010), Kr</w:t>
      </w:r>
      <w:r>
        <w:rPr>
          <w:rFonts w:hAnsi="Helvetica"/>
        </w:rPr>
        <w:t>ä</w:t>
      </w:r>
      <w:r>
        <w:rPr>
          <w:lang w:val="sv-SE"/>
        </w:rPr>
        <w:t xml:space="preserve">ussl </w:t>
      </w:r>
      <w:r>
        <w:t xml:space="preserve"> et al. (</w:t>
      </w:r>
      <w:r>
        <w:rPr>
          <w:lang w:val="de-DE"/>
        </w:rPr>
        <w:t>2009), Lahr</w:t>
      </w:r>
      <w:r>
        <w:t xml:space="preserve"> (2010)  and Soderblom (</w:t>
      </w:r>
      <w:r>
        <w:rPr>
          <w:lang w:val="en-US"/>
        </w:rPr>
        <w:t xml:space="preserve">2011) have addressed characteristics such as risks, returns and various evaluation methods of LPE specifically. </w:t>
      </w:r>
      <w:r>
        <w:br/>
      </w:r>
      <w:r>
        <w:br/>
      </w:r>
      <w:r>
        <w:rPr>
          <w:lang w:val="en-US"/>
        </w:rPr>
        <w:t xml:space="preserve">The research mostly indicates that even though LPE might provide some advantages, it is also not yet clear whether LPE can be considered as a good proxy for unlisted private equity in terms of return and, more significantly, in terms of risk estimation. The main problem with market prices as a proxy for interim return estimation is inconsistency in terms of information about </w:t>
      </w:r>
      <w:proofErr w:type="spellStart"/>
      <w:r>
        <w:rPr>
          <w:lang w:val="en-US"/>
        </w:rPr>
        <w:lastRenderedPageBreak/>
        <w:t>reali</w:t>
      </w:r>
      <w:proofErr w:type="spellEnd"/>
      <w:r>
        <w:t>s</w:t>
      </w:r>
      <w:proofErr w:type="spellStart"/>
      <w:r>
        <w:rPr>
          <w:lang w:val="en-US"/>
        </w:rPr>
        <w:t>ed</w:t>
      </w:r>
      <w:proofErr w:type="spellEnd"/>
      <w:r>
        <w:rPr>
          <w:lang w:val="en-US"/>
        </w:rPr>
        <w:t xml:space="preserve"> investments for the company. This leads to market prices responding to changes in valuation only when significant events within the company occur.</w:t>
      </w:r>
      <w:r>
        <w:br/>
      </w:r>
      <w:r>
        <w:br/>
      </w:r>
      <w:r>
        <w:rPr>
          <w:lang w:val="en-US"/>
        </w:rPr>
        <w:t xml:space="preserve">A common question is existing literature has questioned whether including PE in investment portfolio leads to more beneficial outcomes for the investor. While some research does imply that including PE in the form of LPE leads improved performance of an investor portfolio, the results suffer from all of the problems outlined above and </w:t>
      </w:r>
      <w:proofErr w:type="gramStart"/>
      <w:r>
        <w:rPr>
          <w:lang w:val="en-US"/>
        </w:rPr>
        <w:t>no clear consensus in academic literature does not exist</w:t>
      </w:r>
      <w:proofErr w:type="gramEnd"/>
      <w:r>
        <w:rPr>
          <w:lang w:val="en-US"/>
        </w:rPr>
        <w:t xml:space="preserve">. </w:t>
      </w:r>
      <w:r>
        <w:br/>
      </w:r>
      <w:r>
        <w:br/>
      </w:r>
      <w:r>
        <w:rPr>
          <w:lang w:val="en-US"/>
        </w:rPr>
        <w:t>All of the most commonly used methods, regardless of whether estimation occur on fund, company or stock market level, face some problems when estimating risk and return characteristics for this asset class. Even though some authors try to tackle these problems by addressing the issues within the scope of a certain dataset</w:t>
      </w:r>
      <w:r>
        <w:t xml:space="preserve">, for example, </w:t>
      </w:r>
      <w:proofErr w:type="spellStart"/>
      <w:r>
        <w:t>Fama</w:t>
      </w:r>
      <w:proofErr w:type="spellEnd"/>
      <w:r>
        <w:t xml:space="preserve"> and French (1993) and</w:t>
      </w:r>
      <w:r>
        <w:rPr>
          <w:lang w:val="de-DE"/>
        </w:rPr>
        <w:t xml:space="preserve"> Ljungqvist</w:t>
      </w:r>
      <w:r>
        <w:t xml:space="preserve"> and</w:t>
      </w:r>
      <w:r>
        <w:rPr>
          <w:lang w:val="de-DE"/>
        </w:rPr>
        <w:t xml:space="preserve"> Richardson (2003)</w:t>
      </w:r>
      <w:r>
        <w:t>, most of</w:t>
      </w:r>
      <w:r>
        <w:rPr>
          <w:lang w:val="en-US"/>
        </w:rPr>
        <w:t xml:space="preserve"> existing research </w:t>
      </w:r>
      <w:r>
        <w:t xml:space="preserve">papers </w:t>
      </w:r>
      <w:r>
        <w:rPr>
          <w:lang w:val="en-US"/>
        </w:rPr>
        <w:t xml:space="preserve">provide only </w:t>
      </w:r>
      <w:proofErr w:type="spellStart"/>
      <w:r>
        <w:rPr>
          <w:lang w:val="en-US"/>
        </w:rPr>
        <w:t>compar</w:t>
      </w:r>
      <w:r>
        <w:t>ed</w:t>
      </w:r>
      <w:proofErr w:type="spellEnd"/>
      <w:r>
        <w:rPr>
          <w:lang w:val="en-US"/>
        </w:rPr>
        <w:t xml:space="preserve"> results used across various research papers. As a result, a lack direct comparison between various methods exists.</w:t>
      </w:r>
      <w:r>
        <w:br/>
      </w:r>
      <w:r>
        <w:br/>
      </w:r>
      <w:r>
        <w:rPr>
          <w:lang w:val="en-US"/>
        </w:rPr>
        <w:t>Additionally, most of the existing research</w:t>
      </w:r>
      <w:proofErr w:type="spellStart"/>
      <w:r>
        <w:t>es</w:t>
      </w:r>
      <w:proofErr w:type="spellEnd"/>
      <w:r>
        <w:rPr>
          <w:lang w:val="en-US"/>
        </w:rPr>
        <w:t xml:space="preserve"> focuses on US market exclusively</w:t>
      </w:r>
      <w:r>
        <w:t xml:space="preserve">, for example, Groh and </w:t>
      </w:r>
      <w:proofErr w:type="spellStart"/>
      <w:r>
        <w:rPr>
          <w:lang w:val="de-DE"/>
        </w:rPr>
        <w:t>Gottschalg</w:t>
      </w:r>
      <w:proofErr w:type="spellEnd"/>
      <w:r>
        <w:t xml:space="preserve"> (2009), DeLong and </w:t>
      </w:r>
      <w:proofErr w:type="spellStart"/>
      <w:r>
        <w:t>Magin</w:t>
      </w:r>
      <w:proofErr w:type="spellEnd"/>
      <w:r>
        <w:t xml:space="preserve"> (2009),</w:t>
      </w:r>
      <w:r>
        <w:rPr>
          <w:lang w:val="en-US"/>
        </w:rPr>
        <w:t xml:space="preserve"> or the worldwide market of PE and VC research. The assumptions existing in modern financial theory regarding an existence of free capital flows have mostly been </w:t>
      </w:r>
      <w:proofErr w:type="spellStart"/>
      <w:r>
        <w:rPr>
          <w:lang w:val="en-US"/>
        </w:rPr>
        <w:t>been</w:t>
      </w:r>
      <w:proofErr w:type="spellEnd"/>
      <w:r>
        <w:rPr>
          <w:lang w:val="en-US"/>
        </w:rPr>
        <w:t xml:space="preserve"> used, yet there is a lack of research regarding the characteristics country specific private equity investments. </w:t>
      </w:r>
      <w:r>
        <w:br/>
      </w:r>
      <w:r>
        <w:br/>
      </w:r>
      <w:r>
        <w:rPr>
          <w:lang w:val="en-US"/>
        </w:rPr>
        <w:t xml:space="preserve">This paper aims to contribute to the existing literature in several meaningful ways. Firstly, rather than evaluating risk and return trade-off for private equity funds using a one-sided approach, this paper aims to combine several existing research methods and apply them on the same dataset. Hence, the paper is related to that </w:t>
      </w:r>
      <w:proofErr w:type="gramStart"/>
      <w:r>
        <w:rPr>
          <w:lang w:val="en-US"/>
        </w:rPr>
        <w:t xml:space="preserve">of </w:t>
      </w:r>
      <w:r>
        <w:rPr>
          <w:rFonts w:hAnsi="Helvetica"/>
        </w:rPr>
        <w:t> </w:t>
      </w:r>
      <w:r>
        <w:t>(</w:t>
      </w:r>
      <w:proofErr w:type="spellStart"/>
      <w:proofErr w:type="gramEnd"/>
      <w:r>
        <w:t>Bilo</w:t>
      </w:r>
      <w:proofErr w:type="spellEnd"/>
      <w:r>
        <w:t xml:space="preserve"> et al.,</w:t>
      </w:r>
      <w:r>
        <w:rPr>
          <w:lang w:val="en-US"/>
        </w:rPr>
        <w:t xml:space="preserve"> 2005). In their research, authors investigate the risk and return characteristics of 114 </w:t>
      </w:r>
      <w:r>
        <w:t>publicly</w:t>
      </w:r>
      <w:r>
        <w:rPr>
          <w:lang w:val="en-US"/>
        </w:rPr>
        <w:t xml:space="preserve"> traded private equity vehicles by combining the portfolio of these in three different ways and thus allowing for investigation in various portfolio building strategies. This also allows authors to adjust for several biases such as bid/ask spread, sample selection and thin trading. The authors show that the standard approach for estimating the volatility of LPE tends to be heavily downward biased because of the autocorrelations in LPE returns. They, do, however, find strong evidence that LPE investments earn abnormal returns.</w:t>
      </w:r>
    </w:p>
    <w:p w:rsidR="0061569B" w:rsidRDefault="0061569B" w:rsidP="0061569B">
      <w:pPr>
        <w:pStyle w:val="Body"/>
        <w:spacing w:line="360" w:lineRule="auto"/>
        <w:rPr>
          <w:rFonts w:ascii="Times" w:eastAsia="Times" w:hAnsi="Times" w:cs="Times"/>
        </w:rPr>
      </w:pPr>
      <w:r>
        <w:rPr>
          <w:lang w:val="fr-FR"/>
        </w:rPr>
        <w:lastRenderedPageBreak/>
        <w:t xml:space="preserve">Aigner </w:t>
      </w:r>
      <w:r>
        <w:t>et al. (2010) are</w:t>
      </w:r>
      <w:r>
        <w:rPr>
          <w:lang w:val="en-US"/>
        </w:rPr>
        <w:t xml:space="preserve"> similarly concerned mostly with autocorrelations and heavy tail risk that most research in PE does not take into account. The authors therefore use Markov switching model to capture these characteristics and investigate whether including LPE in portfolio when </w:t>
      </w:r>
      <w:r>
        <w:t>optimising</w:t>
      </w:r>
      <w:r>
        <w:rPr>
          <w:lang w:val="en-US"/>
        </w:rPr>
        <w:t xml:space="preserve"> for risk-adjusted performance is beneficial. Although not </w:t>
      </w:r>
      <w:r>
        <w:t>strictly</w:t>
      </w:r>
      <w:r>
        <w:rPr>
          <w:lang w:val="en-US"/>
        </w:rPr>
        <w:t xml:space="preserve"> conclusive, authors find that risk averse investors can significantly benefit from using LPE as a proxy for private equity investments because of its liquidity and diversification benefits that it offers.</w:t>
      </w:r>
    </w:p>
    <w:p w:rsidR="0061569B" w:rsidRDefault="0061569B" w:rsidP="0061569B">
      <w:pPr>
        <w:pStyle w:val="Body"/>
        <w:spacing w:line="360" w:lineRule="auto"/>
        <w:rPr>
          <w:rFonts w:ascii="Times" w:eastAsia="Times" w:hAnsi="Times" w:cs="Times"/>
        </w:rPr>
      </w:pPr>
      <w:r>
        <w:rPr>
          <w:lang w:val="en-US"/>
        </w:rPr>
        <w:t xml:space="preserve">This paper aims to combine both of these methods and apply them to the same LPE dataset based in Germany. Doing this allows us to account for the variety that can exist when engaging in portfolio </w:t>
      </w:r>
      <w:r>
        <w:t>optimisation</w:t>
      </w:r>
      <w:r>
        <w:rPr>
          <w:lang w:val="en-US"/>
        </w:rPr>
        <w:t xml:space="preserve"> and also take into account problems that (</w:t>
      </w:r>
      <w:proofErr w:type="spellStart"/>
      <w:r>
        <w:rPr>
          <w:lang w:val="en-US"/>
        </w:rPr>
        <w:t>Bilo</w:t>
      </w:r>
      <w:proofErr w:type="spellEnd"/>
      <w:r>
        <w:rPr>
          <w:lang w:val="en-US"/>
        </w:rPr>
        <w:t xml:space="preserve"> et al., 2005) account for in their paper. The first research question we therefore aim to answer is </w:t>
      </w:r>
      <w:proofErr w:type="gramStart"/>
      <w:r>
        <w:rPr>
          <w:i/>
          <w:iCs/>
          <w:lang w:val="en-US"/>
        </w:rPr>
        <w:t>What</w:t>
      </w:r>
      <w:proofErr w:type="gramEnd"/>
      <w:r>
        <w:rPr>
          <w:i/>
          <w:iCs/>
          <w:lang w:val="en-US"/>
        </w:rPr>
        <w:t xml:space="preserve"> is the performance of </w:t>
      </w:r>
      <w:proofErr w:type="spellStart"/>
      <w:r>
        <w:rPr>
          <w:i/>
          <w:iCs/>
          <w:lang w:val="en-US"/>
        </w:rPr>
        <w:t>Privaste</w:t>
      </w:r>
      <w:proofErr w:type="spellEnd"/>
      <w:r>
        <w:rPr>
          <w:i/>
          <w:iCs/>
          <w:lang w:val="en-US"/>
        </w:rPr>
        <w:t xml:space="preserve"> Equity investments in Germany on risk adjusted basis when using LPE as a proxy for the industry?</w:t>
      </w:r>
    </w:p>
    <w:p w:rsidR="0061569B" w:rsidRDefault="0061569B" w:rsidP="0061569B">
      <w:pPr>
        <w:pStyle w:val="Body"/>
        <w:spacing w:line="360" w:lineRule="auto"/>
        <w:rPr>
          <w:rFonts w:ascii="Times" w:eastAsia="Times" w:hAnsi="Times" w:cs="Times"/>
        </w:rPr>
      </w:pPr>
      <w:r>
        <w:rPr>
          <w:lang w:val="en-US"/>
        </w:rPr>
        <w:t xml:space="preserve">At the same time, this allows us to approximate and estimate the characteristics that the more traditional underlying method of estimating risk-adjusted performance does not take into account. By applying Markov Switching model to the same dataset, we are able to estimate the risk and return characteristics such as </w:t>
      </w:r>
      <w:proofErr w:type="spellStart"/>
      <w:r>
        <w:rPr>
          <w:lang w:val="en-US"/>
        </w:rPr>
        <w:t>skewness</w:t>
      </w:r>
      <w:proofErr w:type="spellEnd"/>
      <w:r>
        <w:rPr>
          <w:lang w:val="en-US"/>
        </w:rPr>
        <w:t xml:space="preserve"> and kurtosis of the original distribution. This not only significantly improves our ability to </w:t>
      </w:r>
      <w:proofErr w:type="spellStart"/>
      <w:r>
        <w:rPr>
          <w:lang w:val="en-US"/>
        </w:rPr>
        <w:t>analyse</w:t>
      </w:r>
      <w:proofErr w:type="spellEnd"/>
      <w:r>
        <w:rPr>
          <w:lang w:val="en-US"/>
        </w:rPr>
        <w:t xml:space="preserve"> the returns from PE on risk adjusted basis, it also allows us to compare both of the approaches and estimate the effects problems associated (</w:t>
      </w:r>
      <w:proofErr w:type="spellStart"/>
      <w:r>
        <w:rPr>
          <w:lang w:val="en-US"/>
        </w:rPr>
        <w:t>Bilo</w:t>
      </w:r>
      <w:proofErr w:type="spellEnd"/>
      <w:r>
        <w:rPr>
          <w:lang w:val="en-US"/>
        </w:rPr>
        <w:t xml:space="preserve"> et al., 2005)</w:t>
      </w:r>
      <w:r>
        <w:t xml:space="preserve"> </w:t>
      </w:r>
      <w:r>
        <w:rPr>
          <w:lang w:val="en-US"/>
        </w:rPr>
        <w:t xml:space="preserve">approach has on the results. Because of that, we intend to construct the unique risk and return characteristics of PE industry in Germany and the second and answer the following question: </w:t>
      </w:r>
      <w:r>
        <w:rPr>
          <w:i/>
          <w:iCs/>
          <w:lang w:val="en-US"/>
        </w:rPr>
        <w:t>To what extent the performance estimates of Private Equity when using LPE as a proxy are affected by autocorrelation and heavy tail risk?</w:t>
      </w:r>
    </w:p>
    <w:p w:rsidR="0061569B" w:rsidRDefault="0061569B" w:rsidP="0061569B">
      <w:pPr>
        <w:pStyle w:val="Body"/>
        <w:spacing w:line="360" w:lineRule="auto"/>
      </w:pPr>
      <w:r>
        <w:rPr>
          <w:lang w:val="en-US"/>
        </w:rPr>
        <w:t xml:space="preserve">Additionally, by focusing uniquely on the PE market in Germany, this paper also provides a valuable insight in country specific PE markets. Not only does it quantify the LPE industry in Germany, it also provides an analysis of country specific investments. Since most research regarding private equity focuses exclusively only on the US or generally on the global markets, a lack of research concerning investing in country-specific markets exists. Although diversification beyond a specific country is preferable, because of certain biases, such as home bias, transaction costs or lack of accessibility to foreign markets, investors who prefer home-markets exclusively do exist. This does, however, indicate that our results are likely to be biased because of country-specific risk, since we use data only </w:t>
      </w:r>
      <w:r>
        <w:t>characterising</w:t>
      </w:r>
      <w:r>
        <w:rPr>
          <w:lang w:val="en-US"/>
        </w:rPr>
        <w:t xml:space="preserve"> firms and markets in Germany, the same bias influences all of our results.</w:t>
      </w:r>
    </w:p>
    <w:p w:rsidR="005F21C0" w:rsidRDefault="005F21C0" w:rsidP="005F21C0">
      <w:pPr>
        <w:spacing w:line="480" w:lineRule="auto"/>
        <w:rPr>
          <w:rFonts w:ascii="Times New Roman" w:hAnsi="Times New Roman" w:cs="Times New Roman"/>
          <w:sz w:val="24"/>
          <w:szCs w:val="24"/>
        </w:rPr>
      </w:pPr>
    </w:p>
    <w:p w:rsidR="00A15325" w:rsidRPr="005F21C0" w:rsidRDefault="00A15325" w:rsidP="005F21C0">
      <w:pPr>
        <w:spacing w:line="480" w:lineRule="auto"/>
        <w:rPr>
          <w:rStyle w:val="Grmatasnosaukums"/>
          <w:rFonts w:ascii="Times New Roman" w:hAnsi="Times New Roman" w:cs="Times New Roman"/>
          <w:b w:val="0"/>
          <w:bCs w:val="0"/>
          <w:smallCaps w:val="0"/>
          <w:spacing w:val="0"/>
          <w:sz w:val="24"/>
          <w:szCs w:val="24"/>
        </w:rPr>
      </w:pPr>
      <w:r w:rsidRPr="00C548DB">
        <w:rPr>
          <w:rStyle w:val="Grmatasnosaukums"/>
          <w:sz w:val="32"/>
          <w:szCs w:val="32"/>
        </w:rPr>
        <w:lastRenderedPageBreak/>
        <w:t>Data</w:t>
      </w:r>
    </w:p>
    <w:p w:rsidR="00A15325" w:rsidRPr="00CC5873" w:rsidRDefault="00A15325" w:rsidP="00A15325">
      <w:pPr>
        <w:spacing w:line="480" w:lineRule="auto"/>
        <w:jc w:val="both"/>
        <w:rPr>
          <w:b/>
          <w:bCs/>
          <w:smallCaps/>
          <w:spacing w:val="5"/>
          <w:sz w:val="32"/>
          <w:szCs w:val="32"/>
        </w:rPr>
      </w:pPr>
      <w:r w:rsidRPr="00726B01">
        <w:rPr>
          <w:rFonts w:ascii="Times New Roman" w:hAnsi="Times New Roman" w:cs="Times New Roman"/>
          <w:sz w:val="24"/>
          <w:szCs w:val="24"/>
        </w:rPr>
        <w:t>Because of the industry specifics, acquiring data on PE investments requires access to customized databases with a limited availability for the purpose of academic research. Focusing research on listed PE led to an extended scope of and improvement in the consistency of data available.</w:t>
      </w:r>
    </w:p>
    <w:p w:rsidR="00A15325" w:rsidRPr="00726B01" w:rsidRDefault="00A15325" w:rsidP="00A15325">
      <w:pPr>
        <w:spacing w:line="480" w:lineRule="auto"/>
        <w:jc w:val="both"/>
        <w:rPr>
          <w:rFonts w:ascii="Times New Roman" w:hAnsi="Times New Roman" w:cs="Times New Roman"/>
          <w:sz w:val="24"/>
          <w:szCs w:val="24"/>
        </w:rPr>
      </w:pPr>
      <w:r w:rsidRPr="00726B01">
        <w:rPr>
          <w:rFonts w:ascii="Times New Roman" w:hAnsi="Times New Roman" w:cs="Times New Roman"/>
          <w:sz w:val="24"/>
          <w:szCs w:val="24"/>
        </w:rPr>
        <w:t xml:space="preserve">For the purpose of identifying listed PE companies in Germany two methods were used. Firstly, DAX subsector Private Equity and Venture Capital index which is the only publically quoted index that tracks PE companies listed on German stock exchanges was decomposed. </w:t>
      </w:r>
      <w:r>
        <w:rPr>
          <w:rFonts w:ascii="Times New Roman" w:hAnsi="Times New Roman" w:cs="Times New Roman"/>
          <w:sz w:val="24"/>
          <w:szCs w:val="24"/>
        </w:rPr>
        <w:t xml:space="preserve">Secondly, </w:t>
      </w:r>
      <w:proofErr w:type="spellStart"/>
      <w:r>
        <w:rPr>
          <w:rFonts w:ascii="Times New Roman" w:hAnsi="Times New Roman" w:cs="Times New Roman"/>
          <w:sz w:val="24"/>
          <w:szCs w:val="24"/>
        </w:rPr>
        <w:t>Orbi</w:t>
      </w:r>
      <w:r w:rsidRPr="00726B01">
        <w:rPr>
          <w:rFonts w:ascii="Times New Roman" w:hAnsi="Times New Roman" w:cs="Times New Roman"/>
          <w:sz w:val="24"/>
          <w:szCs w:val="24"/>
        </w:rPr>
        <w:t>s</w:t>
      </w:r>
      <w:proofErr w:type="spellEnd"/>
      <w:r w:rsidRPr="00726B01">
        <w:rPr>
          <w:rFonts w:ascii="Times New Roman" w:hAnsi="Times New Roman" w:cs="Times New Roman"/>
          <w:sz w:val="24"/>
          <w:szCs w:val="24"/>
        </w:rPr>
        <w:t xml:space="preserve"> database was used to identify public companies whose industry was specified as either private equity or venture capital. Since not all of the companies which engage in PE i</w:t>
      </w:r>
      <w:r>
        <w:rPr>
          <w:rFonts w:ascii="Times New Roman" w:hAnsi="Times New Roman" w:cs="Times New Roman"/>
          <w:sz w:val="24"/>
          <w:szCs w:val="24"/>
        </w:rPr>
        <w:t xml:space="preserve">nvesting were identified on </w:t>
      </w:r>
      <w:proofErr w:type="spellStart"/>
      <w:r>
        <w:rPr>
          <w:rFonts w:ascii="Times New Roman" w:hAnsi="Times New Roman" w:cs="Times New Roman"/>
          <w:sz w:val="24"/>
          <w:szCs w:val="24"/>
        </w:rPr>
        <w:t>Orbi</w:t>
      </w:r>
      <w:r w:rsidRPr="00726B01">
        <w:rPr>
          <w:rFonts w:ascii="Times New Roman" w:hAnsi="Times New Roman" w:cs="Times New Roman"/>
          <w:sz w:val="24"/>
          <w:szCs w:val="24"/>
        </w:rPr>
        <w:t>s</w:t>
      </w:r>
      <w:proofErr w:type="spellEnd"/>
      <w:r w:rsidRPr="00726B01">
        <w:rPr>
          <w:rFonts w:ascii="Times New Roman" w:hAnsi="Times New Roman" w:cs="Times New Roman"/>
          <w:sz w:val="24"/>
          <w:szCs w:val="24"/>
        </w:rPr>
        <w:t xml:space="preserve"> database as a part of private equity or venture capital industries nor did the index include every single listed company in the industry, cross-listing both of the methods allowed maximizing the number of companies available</w:t>
      </w:r>
      <w:sdt>
        <w:sdtPr>
          <w:rPr>
            <w:rFonts w:ascii="Times New Roman" w:hAnsi="Times New Roman" w:cs="Times New Roman"/>
            <w:sz w:val="24"/>
            <w:szCs w:val="24"/>
          </w:rPr>
          <w:id w:val="-51507913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Orb15 \l 2057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44892">
            <w:rPr>
              <w:rFonts w:ascii="Times New Roman" w:hAnsi="Times New Roman" w:cs="Times New Roman"/>
              <w:noProof/>
              <w:sz w:val="24"/>
              <w:szCs w:val="24"/>
            </w:rPr>
            <w:t>(Orbis)</w:t>
          </w:r>
          <w:r>
            <w:rPr>
              <w:rFonts w:ascii="Times New Roman" w:hAnsi="Times New Roman" w:cs="Times New Roman"/>
              <w:sz w:val="24"/>
              <w:szCs w:val="24"/>
            </w:rPr>
            <w:fldChar w:fldCharType="end"/>
          </w:r>
        </w:sdtContent>
      </w:sdt>
      <w:r w:rsidRPr="00726B01">
        <w:rPr>
          <w:rFonts w:ascii="Times New Roman" w:hAnsi="Times New Roman" w:cs="Times New Roman"/>
          <w:sz w:val="24"/>
          <w:szCs w:val="24"/>
        </w:rPr>
        <w:t xml:space="preserve">. </w:t>
      </w:r>
    </w:p>
    <w:p w:rsidR="00A15325" w:rsidRPr="00726B01" w:rsidRDefault="00A15325" w:rsidP="00A15325">
      <w:pPr>
        <w:spacing w:line="480" w:lineRule="auto"/>
        <w:jc w:val="both"/>
        <w:rPr>
          <w:rFonts w:ascii="Times New Roman" w:hAnsi="Times New Roman" w:cs="Times New Roman"/>
          <w:sz w:val="24"/>
          <w:szCs w:val="24"/>
        </w:rPr>
      </w:pPr>
      <w:r w:rsidRPr="00726B01">
        <w:rPr>
          <w:rFonts w:ascii="Times New Roman" w:hAnsi="Times New Roman" w:cs="Times New Roman"/>
          <w:sz w:val="24"/>
          <w:szCs w:val="24"/>
        </w:rPr>
        <w:t xml:space="preserve">After identification, DataStream database, information on companies’ websites and annual reports were used to drop the companies whose primary market of focus was not Germany. The final </w:t>
      </w:r>
      <w:r w:rsidR="0061569B">
        <w:rPr>
          <w:rFonts w:ascii="Times New Roman" w:hAnsi="Times New Roman" w:cs="Times New Roman"/>
          <w:sz w:val="24"/>
          <w:szCs w:val="24"/>
        </w:rPr>
        <w:t xml:space="preserve">list consisted of 27 companies. To improve the availability of data and also account of </w:t>
      </w:r>
      <w:proofErr w:type="spellStart"/>
      <w:r w:rsidR="0061569B">
        <w:rPr>
          <w:rFonts w:ascii="Times New Roman" w:hAnsi="Times New Roman" w:cs="Times New Roman"/>
          <w:sz w:val="24"/>
          <w:szCs w:val="24"/>
        </w:rPr>
        <w:t>suvirorship</w:t>
      </w:r>
      <w:proofErr w:type="spellEnd"/>
      <w:r w:rsidR="0061569B">
        <w:rPr>
          <w:rFonts w:ascii="Times New Roman" w:hAnsi="Times New Roman" w:cs="Times New Roman"/>
          <w:sz w:val="24"/>
          <w:szCs w:val="24"/>
        </w:rPr>
        <w:t xml:space="preserve"> bias, LPE companies which have gone bankrupt or have left public stock exchange are also included in the sample.</w:t>
      </w:r>
    </w:p>
    <w:p w:rsidR="00A15325" w:rsidRPr="00726B01" w:rsidRDefault="00A15325" w:rsidP="00A15325">
      <w:pPr>
        <w:spacing w:line="480" w:lineRule="auto"/>
        <w:jc w:val="both"/>
        <w:rPr>
          <w:rFonts w:ascii="Times New Roman" w:hAnsi="Times New Roman" w:cs="Times New Roman"/>
          <w:sz w:val="24"/>
          <w:szCs w:val="24"/>
        </w:rPr>
      </w:pPr>
      <w:r w:rsidRPr="00726B01">
        <w:rPr>
          <w:rFonts w:ascii="Times New Roman" w:hAnsi="Times New Roman" w:cs="Times New Roman"/>
          <w:sz w:val="24"/>
          <w:szCs w:val="24"/>
        </w:rPr>
        <w:t xml:space="preserve">Both of the databases were used to acquire raw data. DataStream database was used to acquire daily return quotes for the listed PE companies. Additionally, daily quotes on DAX index returns were acquired for the purpose of comparison, </w:t>
      </w:r>
      <w:proofErr w:type="spellStart"/>
      <w:r w:rsidRPr="00726B01">
        <w:rPr>
          <w:rFonts w:ascii="Times New Roman" w:hAnsi="Times New Roman" w:cs="Times New Roman"/>
          <w:sz w:val="24"/>
          <w:szCs w:val="24"/>
        </w:rPr>
        <w:t>SnP</w:t>
      </w:r>
      <w:proofErr w:type="spellEnd"/>
      <w:r w:rsidRPr="00726B01">
        <w:rPr>
          <w:rFonts w:ascii="Times New Roman" w:hAnsi="Times New Roman" w:cs="Times New Roman"/>
          <w:sz w:val="24"/>
          <w:szCs w:val="24"/>
        </w:rPr>
        <w:t xml:space="preserve"> Germany </w:t>
      </w:r>
      <w:r w:rsidR="0061569B">
        <w:rPr>
          <w:rFonts w:ascii="Times New Roman" w:hAnsi="Times New Roman" w:cs="Times New Roman"/>
          <w:sz w:val="24"/>
          <w:szCs w:val="24"/>
        </w:rPr>
        <w:t>LM</w:t>
      </w:r>
      <w:r w:rsidRPr="00726B01">
        <w:rPr>
          <w:rFonts w:ascii="Times New Roman" w:hAnsi="Times New Roman" w:cs="Times New Roman"/>
          <w:sz w:val="24"/>
          <w:szCs w:val="24"/>
        </w:rPr>
        <w:t xml:space="preserve"> index daily return quotes were </w:t>
      </w:r>
      <w:r w:rsidRPr="00726B01">
        <w:rPr>
          <w:rFonts w:ascii="Times New Roman" w:hAnsi="Times New Roman" w:cs="Times New Roman"/>
          <w:sz w:val="24"/>
          <w:szCs w:val="24"/>
        </w:rPr>
        <w:lastRenderedPageBreak/>
        <w:t>acquired as a proxy for market returns</w:t>
      </w:r>
      <w:r w:rsidR="0061569B">
        <w:rPr>
          <w:rFonts w:ascii="Times New Roman" w:hAnsi="Times New Roman" w:cs="Times New Roman"/>
          <w:sz w:val="24"/>
          <w:szCs w:val="24"/>
        </w:rPr>
        <w:t xml:space="preserve"> on large and medium sized companies in Germany,</w:t>
      </w:r>
      <w:r w:rsidRPr="00726B01">
        <w:rPr>
          <w:rFonts w:ascii="Times New Roman" w:hAnsi="Times New Roman" w:cs="Times New Roman"/>
          <w:sz w:val="24"/>
          <w:szCs w:val="24"/>
        </w:rPr>
        <w:t xml:space="preserve"> and </w:t>
      </w:r>
      <w:r w:rsidR="0061569B">
        <w:rPr>
          <w:rFonts w:ascii="Times New Roman" w:hAnsi="Times New Roman" w:cs="Times New Roman"/>
          <w:sz w:val="24"/>
          <w:szCs w:val="24"/>
        </w:rPr>
        <w:t xml:space="preserve">Rex 1 year Bond index was used </w:t>
      </w:r>
      <w:r w:rsidRPr="00726B01">
        <w:rPr>
          <w:rFonts w:ascii="Times New Roman" w:hAnsi="Times New Roman" w:cs="Times New Roman"/>
          <w:sz w:val="24"/>
          <w:szCs w:val="24"/>
        </w:rPr>
        <w:t xml:space="preserve">as a proxy for risk-free returns.  </w:t>
      </w:r>
    </w:p>
    <w:p w:rsidR="00A15325" w:rsidRPr="00726B01" w:rsidRDefault="00A15325" w:rsidP="00A15325">
      <w:pPr>
        <w:spacing w:line="480" w:lineRule="auto"/>
        <w:jc w:val="both"/>
        <w:rPr>
          <w:rFonts w:ascii="Times New Roman" w:hAnsi="Times New Roman" w:cs="Times New Roman"/>
          <w:sz w:val="24"/>
          <w:szCs w:val="24"/>
        </w:rPr>
      </w:pPr>
      <w:r w:rsidRPr="00726B01">
        <w:rPr>
          <w:rFonts w:ascii="Times New Roman" w:hAnsi="Times New Roman" w:cs="Times New Roman"/>
          <w:sz w:val="24"/>
          <w:szCs w:val="24"/>
        </w:rPr>
        <w:t xml:space="preserve">Additional data will be acquired from </w:t>
      </w:r>
      <w:proofErr w:type="spellStart"/>
      <w:r w:rsidRPr="00726B01">
        <w:rPr>
          <w:rFonts w:ascii="Times New Roman" w:hAnsi="Times New Roman" w:cs="Times New Roman"/>
          <w:sz w:val="24"/>
          <w:szCs w:val="24"/>
        </w:rPr>
        <w:t>BvK</w:t>
      </w:r>
      <w:proofErr w:type="spellEnd"/>
      <w:r w:rsidRPr="00726B01">
        <w:rPr>
          <w:rFonts w:ascii="Times New Roman" w:hAnsi="Times New Roman" w:cs="Times New Roman"/>
          <w:sz w:val="24"/>
          <w:szCs w:val="24"/>
        </w:rPr>
        <w:t xml:space="preserve"> (</w:t>
      </w:r>
      <w:r w:rsidRPr="00726B01">
        <w:rPr>
          <w:rFonts w:ascii="Times New Roman" w:hAnsi="Times New Roman" w:cs="Times New Roman"/>
          <w:sz w:val="24"/>
          <w:szCs w:val="24"/>
          <w:lang w:val="de-DE"/>
        </w:rPr>
        <w:t>Metzger,</w:t>
      </w:r>
      <w:r w:rsidRPr="00726B01">
        <w:rPr>
          <w:rFonts w:ascii="Times New Roman" w:hAnsi="Times New Roman" w:cs="Times New Roman"/>
          <w:sz w:val="24"/>
          <w:szCs w:val="24"/>
        </w:rPr>
        <w:t xml:space="preserve"> 2014)</w:t>
      </w:r>
      <w:r>
        <w:rPr>
          <w:rFonts w:ascii="Times New Roman" w:hAnsi="Times New Roman" w:cs="Times New Roman"/>
          <w:sz w:val="24"/>
          <w:szCs w:val="24"/>
        </w:rPr>
        <w:t xml:space="preserve"> </w:t>
      </w:r>
      <w:r w:rsidRPr="00726B01">
        <w:rPr>
          <w:rFonts w:ascii="Times New Roman" w:hAnsi="Times New Roman" w:cs="Times New Roman"/>
          <w:sz w:val="24"/>
          <w:szCs w:val="24"/>
        </w:rPr>
        <w:t xml:space="preserve">and </w:t>
      </w:r>
      <w:r w:rsidRPr="00726B01">
        <w:rPr>
          <w:rFonts w:ascii="Times New Roman" w:eastAsia="Times New Roman" w:hAnsi="Times New Roman" w:cs="Times New Roman"/>
          <w:sz w:val="24"/>
          <w:szCs w:val="24"/>
        </w:rPr>
        <w:t>EVCA (2013)</w:t>
      </w:r>
      <w:r>
        <w:rPr>
          <w:rFonts w:ascii="Times New Roman" w:eastAsia="Times New Roman" w:hAnsi="Times New Roman" w:cs="Times New Roman"/>
          <w:sz w:val="24"/>
          <w:szCs w:val="24"/>
        </w:rPr>
        <w:t xml:space="preserve"> </w:t>
      </w:r>
      <w:r w:rsidRPr="00726B01">
        <w:rPr>
          <w:rFonts w:ascii="Times New Roman" w:hAnsi="Times New Roman" w:cs="Times New Roman"/>
          <w:sz w:val="24"/>
          <w:szCs w:val="24"/>
        </w:rPr>
        <w:t xml:space="preserve"> annual reports, which research and examine the PE and VC industry in Germany and Europe, respectively, for the purpose of comparison between our results and their tracked returns.</w:t>
      </w:r>
    </w:p>
    <w:p w:rsidR="0061569B" w:rsidRDefault="0061569B" w:rsidP="00A15325">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Fama</w:t>
      </w:r>
      <w:proofErr w:type="spellEnd"/>
      <w:r>
        <w:rPr>
          <w:rFonts w:ascii="Times New Roman" w:hAnsi="Times New Roman" w:cs="Times New Roman"/>
          <w:sz w:val="24"/>
          <w:szCs w:val="24"/>
        </w:rPr>
        <w:t xml:space="preserve"> and French factors</w:t>
      </w:r>
    </w:p>
    <w:p w:rsidR="00A15325" w:rsidRPr="00726B01" w:rsidRDefault="0061569B" w:rsidP="00A15325">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purpose of this first part of the research, </w:t>
      </w:r>
      <w:proofErr w:type="spellStart"/>
      <w:r>
        <w:rPr>
          <w:rFonts w:ascii="Times New Roman" w:hAnsi="Times New Roman" w:cs="Times New Roman"/>
          <w:sz w:val="24"/>
          <w:szCs w:val="24"/>
        </w:rPr>
        <w:t>Fama</w:t>
      </w:r>
      <w:proofErr w:type="spellEnd"/>
      <w:r>
        <w:rPr>
          <w:rFonts w:ascii="Times New Roman" w:hAnsi="Times New Roman" w:cs="Times New Roman"/>
          <w:sz w:val="24"/>
          <w:szCs w:val="24"/>
        </w:rPr>
        <w:t xml:space="preserve"> and French four-factor daily factors specifically </w:t>
      </w:r>
      <w:r w:rsidR="00696A73">
        <w:rPr>
          <w:rFonts w:ascii="Times New Roman" w:hAnsi="Times New Roman" w:cs="Times New Roman"/>
          <w:sz w:val="24"/>
          <w:szCs w:val="24"/>
        </w:rPr>
        <w:t xml:space="preserve">for Germany were used. </w:t>
      </w:r>
      <w:r>
        <w:rPr>
          <w:rFonts w:ascii="Times New Roman" w:hAnsi="Times New Roman" w:cs="Times New Roman"/>
          <w:sz w:val="24"/>
          <w:szCs w:val="24"/>
        </w:rPr>
        <w:t>(</w:t>
      </w:r>
      <w:hyperlink r:id="rId8" w:history="1">
        <w:r w:rsidRPr="009A5E27">
          <w:rPr>
            <w:rStyle w:val="Hipersaite"/>
            <w:rFonts w:ascii="Times New Roman" w:hAnsi="Times New Roman" w:cs="Times New Roman"/>
            <w:sz w:val="24"/>
            <w:szCs w:val="24"/>
          </w:rPr>
          <w:t>http://papers.ssrn.com/sol3/papers.cfm?abstract_id=2390063</w:t>
        </w:r>
      </w:hyperlink>
      <w:r>
        <w:rPr>
          <w:rFonts w:ascii="Times New Roman" w:hAnsi="Times New Roman" w:cs="Times New Roman"/>
          <w:sz w:val="24"/>
          <w:szCs w:val="24"/>
        </w:rPr>
        <w:t>) provide several types of factors with different assumptions, thus allowing us to choose factors that best fit our dataset.</w:t>
      </w:r>
      <w:r w:rsidR="00A15325" w:rsidRPr="00726B01">
        <w:rPr>
          <w:rFonts w:ascii="Times New Roman" w:hAnsi="Times New Roman" w:cs="Times New Roman"/>
          <w:sz w:val="24"/>
          <w:szCs w:val="24"/>
        </w:rPr>
        <w:br w:type="page"/>
      </w:r>
    </w:p>
    <w:p w:rsidR="00A15325" w:rsidRDefault="00A15325" w:rsidP="00A15325">
      <w:pPr>
        <w:pStyle w:val="Virsraksts4"/>
        <w:rPr>
          <w:rStyle w:val="Grmatasnosaukums"/>
          <w:sz w:val="32"/>
          <w:szCs w:val="32"/>
        </w:rPr>
      </w:pPr>
      <w:r w:rsidRPr="00111AF5">
        <w:rPr>
          <w:rStyle w:val="Grmatasnosaukums"/>
          <w:sz w:val="32"/>
          <w:szCs w:val="32"/>
        </w:rPr>
        <w:lastRenderedPageBreak/>
        <w:t xml:space="preserve">PE industry overview in Germany </w:t>
      </w:r>
    </w:p>
    <w:p w:rsidR="00A15325" w:rsidRPr="00CC5873" w:rsidRDefault="00A15325" w:rsidP="00A15325"/>
    <w:p w:rsidR="00A15325" w:rsidRPr="00726B01" w:rsidRDefault="00A15325" w:rsidP="00A15325">
      <w:pPr>
        <w:pStyle w:val="Body"/>
        <w:spacing w:line="480" w:lineRule="auto"/>
        <w:jc w:val="both"/>
        <w:rPr>
          <w:rFonts w:ascii="Times New Roman" w:eastAsia="Times New Roman" w:hAnsi="Times New Roman" w:cs="Times New Roman"/>
          <w:sz w:val="24"/>
          <w:szCs w:val="24"/>
        </w:rPr>
      </w:pPr>
      <w:r w:rsidRPr="00726B01">
        <w:rPr>
          <w:rFonts w:ascii="Times New Roman" w:eastAsia="Times New Roman" w:hAnsi="Times New Roman" w:cs="Times New Roman"/>
          <w:sz w:val="24"/>
          <w:szCs w:val="24"/>
        </w:rPr>
        <w:t>According to European Private Equity and Venture Capital Association</w:t>
      </w:r>
      <w:r w:rsidR="003D2B58">
        <w:rPr>
          <w:rFonts w:ascii="Times New Roman" w:eastAsia="Times New Roman" w:hAnsi="Times New Roman" w:cs="Times New Roman"/>
          <w:sz w:val="24"/>
          <w:szCs w:val="24"/>
        </w:rPr>
        <w:t xml:space="preserve"> (EVCA, 2013), </w:t>
      </w:r>
      <w:r w:rsidRPr="00726B01">
        <w:rPr>
          <w:rFonts w:ascii="Times New Roman" w:eastAsia="Times New Roman" w:hAnsi="Times New Roman" w:cs="Times New Roman"/>
          <w:sz w:val="24"/>
          <w:szCs w:val="24"/>
        </w:rPr>
        <w:t>the level of private e</w:t>
      </w:r>
      <w:r w:rsidR="003D2B58">
        <w:rPr>
          <w:rFonts w:ascii="Times New Roman" w:eastAsia="Times New Roman" w:hAnsi="Times New Roman" w:cs="Times New Roman"/>
          <w:sz w:val="24"/>
          <w:szCs w:val="24"/>
        </w:rPr>
        <w:t xml:space="preserve">quity investments in Germany </w:t>
      </w:r>
      <w:r w:rsidRPr="00726B01">
        <w:rPr>
          <w:rFonts w:ascii="Times New Roman" w:eastAsia="Times New Roman" w:hAnsi="Times New Roman" w:cs="Times New Roman"/>
          <w:sz w:val="24"/>
          <w:szCs w:val="24"/>
        </w:rPr>
        <w:t>is lower than the average level in Europe</w:t>
      </w:r>
      <w:r w:rsidR="003D2B58">
        <w:rPr>
          <w:rFonts w:ascii="Times New Roman" w:eastAsia="Times New Roman" w:hAnsi="Times New Roman" w:cs="Times New Roman"/>
          <w:sz w:val="24"/>
          <w:szCs w:val="24"/>
        </w:rPr>
        <w:t xml:space="preserve"> (</w:t>
      </w:r>
      <w:r w:rsidRPr="00726B01">
        <w:rPr>
          <w:rFonts w:ascii="Times New Roman" w:eastAsia="Times New Roman" w:hAnsi="Times New Roman" w:cs="Times New Roman"/>
          <w:sz w:val="24"/>
          <w:szCs w:val="24"/>
        </w:rPr>
        <w:t>0,215 and 0,267</w:t>
      </w:r>
      <w:r w:rsidR="005738D8">
        <w:rPr>
          <w:rFonts w:ascii="Times New Roman" w:eastAsia="Times New Roman" w:hAnsi="Times New Roman" w:cs="Times New Roman"/>
          <w:sz w:val="24"/>
          <w:szCs w:val="24"/>
        </w:rPr>
        <w:t xml:space="preserve"> as % of GDP and 0,18 and </w:t>
      </w:r>
      <w:r w:rsidRPr="00726B01">
        <w:rPr>
          <w:rFonts w:ascii="Times New Roman" w:eastAsia="Times New Roman" w:hAnsi="Times New Roman" w:cs="Times New Roman"/>
          <w:sz w:val="24"/>
          <w:szCs w:val="24"/>
        </w:rPr>
        <w:t xml:space="preserve">0,253 as </w:t>
      </w:r>
      <w:r w:rsidR="005738D8">
        <w:rPr>
          <w:rFonts w:ascii="Times New Roman" w:eastAsia="Times New Roman" w:hAnsi="Times New Roman" w:cs="Times New Roman"/>
          <w:sz w:val="24"/>
          <w:szCs w:val="24"/>
        </w:rPr>
        <w:t>%</w:t>
      </w:r>
      <w:r w:rsidRPr="00726B01">
        <w:rPr>
          <w:rFonts w:ascii="Times New Roman" w:eastAsia="Times New Roman" w:hAnsi="Times New Roman" w:cs="Times New Roman"/>
          <w:sz w:val="24"/>
          <w:szCs w:val="24"/>
        </w:rPr>
        <w:t xml:space="preserve"> of GDP</w:t>
      </w:r>
      <w:r w:rsidR="005738D8">
        <w:rPr>
          <w:rFonts w:ascii="Times New Roman" w:eastAsia="Times New Roman" w:hAnsi="Times New Roman" w:cs="Times New Roman"/>
          <w:sz w:val="24"/>
          <w:szCs w:val="24"/>
        </w:rPr>
        <w:t xml:space="preserve"> when viewed in terms of size of the market)</w:t>
      </w:r>
      <w:r w:rsidRPr="00726B01">
        <w:rPr>
          <w:rFonts w:ascii="Times New Roman" w:eastAsia="Times New Roman" w:hAnsi="Times New Roman" w:cs="Times New Roman"/>
          <w:sz w:val="24"/>
          <w:szCs w:val="24"/>
        </w:rPr>
        <w:t xml:space="preserve">. However, the average </w:t>
      </w:r>
      <w:r w:rsidR="005738D8">
        <w:rPr>
          <w:rFonts w:ascii="Times New Roman" w:eastAsia="Times New Roman" w:hAnsi="Times New Roman" w:cs="Times New Roman"/>
          <w:sz w:val="24"/>
          <w:szCs w:val="24"/>
        </w:rPr>
        <w:t>investments in Germany seem to</w:t>
      </w:r>
      <w:r w:rsidRPr="00726B01">
        <w:rPr>
          <w:rFonts w:ascii="Times New Roman" w:eastAsia="Times New Roman" w:hAnsi="Times New Roman" w:cs="Times New Roman"/>
          <w:sz w:val="24"/>
          <w:szCs w:val="24"/>
        </w:rPr>
        <w:t xml:space="preserve"> higher over the </w:t>
      </w:r>
      <w:r w:rsidR="005738D8">
        <w:rPr>
          <w:rFonts w:ascii="Times New Roman" w:eastAsia="Times New Roman" w:hAnsi="Times New Roman" w:cs="Times New Roman"/>
          <w:sz w:val="24"/>
          <w:szCs w:val="24"/>
        </w:rPr>
        <w:t>period of 2007 to 2012.</w:t>
      </w:r>
    </w:p>
    <w:p w:rsidR="00A15325" w:rsidRPr="00726B01" w:rsidRDefault="006B02DE" w:rsidP="00A15325">
      <w:pPr>
        <w:pStyle w:val="Body"/>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w:t>
      </w:r>
      <w:r w:rsidR="00A15325" w:rsidRPr="00726B01">
        <w:rPr>
          <w:rFonts w:ascii="Times New Roman" w:eastAsia="Times New Roman" w:hAnsi="Times New Roman" w:cs="Times New Roman"/>
          <w:sz w:val="24"/>
          <w:szCs w:val="24"/>
        </w:rPr>
        <w:t xml:space="preserve"> </w:t>
      </w:r>
      <w:r w:rsidR="00A15325" w:rsidRPr="00726B01">
        <w:rPr>
          <w:rFonts w:ascii="Times New Roman" w:hAnsi="Times New Roman" w:cs="Times New Roman"/>
          <w:sz w:val="24"/>
          <w:szCs w:val="24"/>
          <w:lang w:val="sv-SE"/>
        </w:rPr>
        <w:t>Guellmann</w:t>
      </w:r>
      <w:r>
        <w:rPr>
          <w:rFonts w:ascii="Times New Roman" w:hAnsi="Times New Roman" w:cs="Times New Roman"/>
          <w:sz w:val="24"/>
          <w:szCs w:val="24"/>
        </w:rPr>
        <w:t xml:space="preserve"> (2013), a </w:t>
      </w:r>
      <w:r w:rsidR="00A15325" w:rsidRPr="00726B01">
        <w:rPr>
          <w:rFonts w:ascii="Times New Roman" w:hAnsi="Times New Roman" w:cs="Times New Roman"/>
          <w:sz w:val="24"/>
          <w:szCs w:val="24"/>
        </w:rPr>
        <w:t>Board Member of BVK, the level of investments suffered a downfall of 70% after</w:t>
      </w:r>
      <w:r>
        <w:rPr>
          <w:rFonts w:ascii="Times New Roman" w:hAnsi="Times New Roman" w:cs="Times New Roman"/>
          <w:sz w:val="24"/>
          <w:szCs w:val="24"/>
        </w:rPr>
        <w:t xml:space="preserve"> the crisis and in 2013 had only managed to recover </w:t>
      </w:r>
      <w:r w:rsidR="00A15325" w:rsidRPr="00726B01">
        <w:rPr>
          <w:rFonts w:ascii="Times New Roman" w:hAnsi="Times New Roman" w:cs="Times New Roman"/>
          <w:sz w:val="24"/>
          <w:szCs w:val="24"/>
        </w:rPr>
        <w:t xml:space="preserve">to </w:t>
      </w:r>
      <w:r>
        <w:rPr>
          <w:rFonts w:ascii="Times New Roman" w:hAnsi="Times New Roman" w:cs="Times New Roman"/>
          <w:sz w:val="24"/>
          <w:szCs w:val="24"/>
        </w:rPr>
        <w:t>50</w:t>
      </w:r>
      <w:r w:rsidR="00A15325" w:rsidRPr="00726B01">
        <w:rPr>
          <w:rFonts w:ascii="Times New Roman" w:hAnsi="Times New Roman" w:cs="Times New Roman"/>
          <w:sz w:val="24"/>
          <w:szCs w:val="24"/>
        </w:rPr>
        <w:t xml:space="preserve">% of the </w:t>
      </w:r>
      <w:r>
        <w:rPr>
          <w:rFonts w:ascii="Times New Roman" w:hAnsi="Times New Roman" w:cs="Times New Roman"/>
          <w:sz w:val="24"/>
          <w:szCs w:val="24"/>
        </w:rPr>
        <w:t>pre-crisis level.</w:t>
      </w:r>
    </w:p>
    <w:p w:rsidR="00A15325" w:rsidRPr="00726B01" w:rsidRDefault="000C284A" w:rsidP="00A15325">
      <w:pPr>
        <w:pStyle w:val="Body"/>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of the annual </w:t>
      </w:r>
      <w:proofErr w:type="spellStart"/>
      <w:r>
        <w:rPr>
          <w:rFonts w:ascii="Times New Roman" w:eastAsia="Times New Roman" w:hAnsi="Times New Roman" w:cs="Times New Roman"/>
          <w:sz w:val="24"/>
          <w:szCs w:val="24"/>
        </w:rPr>
        <w:t>BkV</w:t>
      </w:r>
      <w:proofErr w:type="spellEnd"/>
      <w:r>
        <w:rPr>
          <w:rFonts w:ascii="Times New Roman" w:eastAsia="Times New Roman" w:hAnsi="Times New Roman" w:cs="Times New Roman"/>
          <w:sz w:val="24"/>
          <w:szCs w:val="24"/>
        </w:rPr>
        <w:t xml:space="preserve"> supported publications</w:t>
      </w:r>
      <w:r w:rsidR="00A15325" w:rsidRPr="00726B01">
        <w:rPr>
          <w:rFonts w:ascii="Times New Roman" w:eastAsia="Times New Roman" w:hAnsi="Times New Roman" w:cs="Times New Roman"/>
          <w:sz w:val="24"/>
          <w:szCs w:val="24"/>
        </w:rPr>
        <w:t xml:space="preserve"> </w:t>
      </w:r>
      <w:r w:rsidR="00A15325" w:rsidRPr="00726B01">
        <w:rPr>
          <w:rFonts w:ascii="Times New Roman" w:hAnsi="Times New Roman" w:cs="Times New Roman"/>
          <w:sz w:val="24"/>
          <w:szCs w:val="24"/>
          <w:lang w:val="en-US"/>
        </w:rPr>
        <w:t xml:space="preserve">German Private Equity Barometer </w:t>
      </w:r>
      <w:r w:rsidR="00A15325" w:rsidRPr="00726B01">
        <w:rPr>
          <w:rFonts w:ascii="Times New Roman" w:hAnsi="Times New Roman" w:cs="Times New Roman"/>
          <w:sz w:val="24"/>
          <w:szCs w:val="24"/>
        </w:rPr>
        <w:t>(</w:t>
      </w:r>
      <w:r w:rsidR="00A15325" w:rsidRPr="00726B01">
        <w:rPr>
          <w:rFonts w:ascii="Times New Roman" w:hAnsi="Times New Roman" w:cs="Times New Roman"/>
          <w:sz w:val="24"/>
          <w:szCs w:val="24"/>
          <w:lang w:val="de-DE"/>
        </w:rPr>
        <w:t>Metzger,</w:t>
      </w:r>
      <w:r>
        <w:rPr>
          <w:rFonts w:ascii="Times New Roman" w:hAnsi="Times New Roman" w:cs="Times New Roman"/>
          <w:sz w:val="24"/>
          <w:szCs w:val="24"/>
        </w:rPr>
        <w:t xml:space="preserve"> 2014), authors claim that </w:t>
      </w:r>
      <w:r w:rsidR="00A15325" w:rsidRPr="00726B01">
        <w:rPr>
          <w:rFonts w:ascii="Times New Roman" w:hAnsi="Times New Roman" w:cs="Times New Roman"/>
          <w:sz w:val="24"/>
          <w:szCs w:val="24"/>
        </w:rPr>
        <w:t xml:space="preserve">Germany has a favourable position in private equity market despite the slowdown. </w:t>
      </w:r>
      <w:r>
        <w:rPr>
          <w:rFonts w:ascii="Times New Roman" w:hAnsi="Times New Roman" w:cs="Times New Roman"/>
          <w:sz w:val="24"/>
          <w:szCs w:val="24"/>
        </w:rPr>
        <w:t>Even though the</w:t>
      </w:r>
      <w:r w:rsidR="00A15325" w:rsidRPr="00726B01">
        <w:rPr>
          <w:rFonts w:ascii="Times New Roman" w:hAnsi="Times New Roman" w:cs="Times New Roman"/>
          <w:sz w:val="24"/>
          <w:szCs w:val="24"/>
        </w:rPr>
        <w:t xml:space="preserve"> investment in</w:t>
      </w:r>
      <w:r>
        <w:rPr>
          <w:rFonts w:ascii="Times New Roman" w:hAnsi="Times New Roman" w:cs="Times New Roman"/>
          <w:sz w:val="24"/>
          <w:szCs w:val="24"/>
        </w:rPr>
        <w:t xml:space="preserve"> the country has fallen,</w:t>
      </w:r>
      <w:r w:rsidR="00A15325" w:rsidRPr="00726B01">
        <w:rPr>
          <w:rFonts w:ascii="Times New Roman" w:hAnsi="Times New Roman" w:cs="Times New Roman"/>
          <w:sz w:val="24"/>
          <w:szCs w:val="24"/>
        </w:rPr>
        <w:t xml:space="preserve"> it has stayed above the historical level.</w:t>
      </w:r>
    </w:p>
    <w:p w:rsidR="00A15325" w:rsidRPr="00726B01" w:rsidRDefault="00A15325" w:rsidP="00A15325">
      <w:pPr>
        <w:spacing w:line="480" w:lineRule="auto"/>
        <w:jc w:val="both"/>
        <w:rPr>
          <w:rFonts w:ascii="Times New Roman" w:hAnsi="Times New Roman" w:cs="Times New Roman"/>
          <w:sz w:val="24"/>
          <w:szCs w:val="24"/>
        </w:rPr>
      </w:pPr>
      <w:r w:rsidRPr="00726B01">
        <w:rPr>
          <w:rFonts w:ascii="Times New Roman" w:eastAsia="Times New Roman" w:hAnsi="Times New Roman" w:cs="Times New Roman"/>
          <w:sz w:val="24"/>
          <w:szCs w:val="24"/>
        </w:rPr>
        <w:t xml:space="preserve">In the article by </w:t>
      </w:r>
      <w:r w:rsidRPr="00726B01">
        <w:rPr>
          <w:rFonts w:ascii="Times New Roman" w:hAnsi="Times New Roman" w:cs="Times New Roman"/>
          <w:sz w:val="24"/>
          <w:szCs w:val="24"/>
          <w:lang w:val="nl-NL"/>
        </w:rPr>
        <w:t xml:space="preserve">Jennen </w:t>
      </w:r>
      <w:r w:rsidRPr="00726B01">
        <w:rPr>
          <w:rFonts w:ascii="Times New Roman" w:hAnsi="Times New Roman" w:cs="Times New Roman"/>
          <w:sz w:val="24"/>
          <w:szCs w:val="24"/>
        </w:rPr>
        <w:t>and</w:t>
      </w:r>
      <w:r w:rsidRPr="00726B01">
        <w:rPr>
          <w:rFonts w:ascii="Times New Roman" w:hAnsi="Times New Roman" w:cs="Times New Roman"/>
          <w:sz w:val="24"/>
          <w:szCs w:val="24"/>
          <w:lang w:val="de-DE"/>
        </w:rPr>
        <w:t xml:space="preserve"> Rahn</w:t>
      </w:r>
      <w:r w:rsidRPr="00726B01">
        <w:rPr>
          <w:rFonts w:ascii="Times New Roman" w:hAnsi="Times New Roman" w:cs="Times New Roman"/>
          <w:sz w:val="24"/>
          <w:szCs w:val="24"/>
        </w:rPr>
        <w:t xml:space="preserve"> (2014), </w:t>
      </w:r>
      <w:r w:rsidRPr="00726B01">
        <w:rPr>
          <w:rFonts w:ascii="Times New Roman" w:hAnsi="Times New Roman" w:cs="Times New Roman"/>
          <w:sz w:val="24"/>
          <w:szCs w:val="24"/>
          <w:lang w:val="de-DE"/>
        </w:rPr>
        <w:t>Christian Reitberger</w:t>
      </w:r>
      <w:r w:rsidRPr="00726B01">
        <w:rPr>
          <w:rFonts w:ascii="Times New Roman" w:hAnsi="Times New Roman" w:cs="Times New Roman"/>
          <w:sz w:val="24"/>
          <w:szCs w:val="24"/>
        </w:rPr>
        <w:t xml:space="preserve"> from </w:t>
      </w:r>
      <w:r w:rsidRPr="00726B01">
        <w:rPr>
          <w:rFonts w:ascii="Times New Roman" w:hAnsi="Times New Roman" w:cs="Times New Roman"/>
          <w:sz w:val="24"/>
          <w:szCs w:val="24"/>
          <w:lang w:val="en-US"/>
        </w:rPr>
        <w:t xml:space="preserve">Wellington </w:t>
      </w:r>
      <w:r w:rsidR="00697751">
        <w:rPr>
          <w:rFonts w:ascii="Times New Roman" w:hAnsi="Times New Roman" w:cs="Times New Roman"/>
          <w:sz w:val="24"/>
          <w:szCs w:val="24"/>
          <w:lang w:val="en-US"/>
        </w:rPr>
        <w:t>(p</w:t>
      </w:r>
      <w:r w:rsidRPr="00726B01">
        <w:rPr>
          <w:rFonts w:ascii="Times New Roman" w:hAnsi="Times New Roman" w:cs="Times New Roman"/>
          <w:sz w:val="24"/>
          <w:szCs w:val="24"/>
          <w:lang w:val="en-US"/>
        </w:rPr>
        <w:t xml:space="preserve">artners </w:t>
      </w:r>
      <w:r w:rsidR="00697751">
        <w:rPr>
          <w:rFonts w:ascii="Times New Roman" w:hAnsi="Times New Roman" w:cs="Times New Roman"/>
          <w:sz w:val="24"/>
          <w:szCs w:val="24"/>
          <w:lang w:val="en-US"/>
        </w:rPr>
        <w:t xml:space="preserve">at </w:t>
      </w:r>
      <w:r w:rsidRPr="00726B01">
        <w:rPr>
          <w:rFonts w:ascii="Times New Roman" w:hAnsi="Times New Roman" w:cs="Times New Roman"/>
          <w:sz w:val="24"/>
          <w:szCs w:val="24"/>
          <w:lang w:val="en-US"/>
        </w:rPr>
        <w:t>GmbH</w:t>
      </w:r>
      <w:r w:rsidR="00697751">
        <w:rPr>
          <w:rFonts w:ascii="Times New Roman" w:hAnsi="Times New Roman" w:cs="Times New Roman"/>
          <w:sz w:val="24"/>
          <w:szCs w:val="24"/>
          <w:lang w:val="en-US"/>
        </w:rPr>
        <w:t>, a PE investment company)</w:t>
      </w:r>
      <w:r w:rsidRPr="00726B01">
        <w:rPr>
          <w:rFonts w:ascii="Times New Roman" w:hAnsi="Times New Roman" w:cs="Times New Roman"/>
          <w:sz w:val="24"/>
          <w:szCs w:val="24"/>
        </w:rPr>
        <w:t xml:space="preserve"> said that </w:t>
      </w:r>
      <w:r w:rsidR="00697751">
        <w:rPr>
          <w:rFonts w:ascii="Times New Roman" w:hAnsi="Times New Roman" w:cs="Times New Roman"/>
          <w:sz w:val="24"/>
          <w:szCs w:val="24"/>
        </w:rPr>
        <w:t>claim that the main disadvantage of PE investments in Germany is lack of a functioning stock-exchange system</w:t>
      </w:r>
      <w:r w:rsidRPr="00726B01">
        <w:rPr>
          <w:rFonts w:ascii="Times New Roman" w:hAnsi="Times New Roman" w:cs="Times New Roman"/>
          <w:sz w:val="24"/>
          <w:szCs w:val="24"/>
        </w:rPr>
        <w:t xml:space="preserve">. In the same article, </w:t>
      </w:r>
      <w:r w:rsidRPr="00726B01">
        <w:rPr>
          <w:rFonts w:ascii="Times New Roman" w:hAnsi="Times New Roman" w:cs="Times New Roman"/>
          <w:sz w:val="24"/>
          <w:szCs w:val="24"/>
          <w:lang w:val="de-DE"/>
        </w:rPr>
        <w:t>Joseph Schull</w:t>
      </w:r>
      <w:r w:rsidR="00A60EF1">
        <w:rPr>
          <w:rFonts w:ascii="Times New Roman" w:hAnsi="Times New Roman" w:cs="Times New Roman"/>
          <w:sz w:val="24"/>
          <w:szCs w:val="24"/>
        </w:rPr>
        <w:t xml:space="preserve"> (</w:t>
      </w:r>
      <w:r w:rsidR="00A60EF1">
        <w:rPr>
          <w:rFonts w:ascii="Times New Roman" w:hAnsi="Times New Roman" w:cs="Times New Roman"/>
          <w:sz w:val="24"/>
          <w:szCs w:val="24"/>
          <w:lang w:val="en-US"/>
        </w:rPr>
        <w:t xml:space="preserve">Warburg </w:t>
      </w:r>
      <w:proofErr w:type="spellStart"/>
      <w:r w:rsidR="00A60EF1">
        <w:rPr>
          <w:rFonts w:ascii="Times New Roman" w:hAnsi="Times New Roman" w:cs="Times New Roman"/>
          <w:sz w:val="24"/>
          <w:szCs w:val="24"/>
          <w:lang w:val="en-US"/>
        </w:rPr>
        <w:t>Pincus</w:t>
      </w:r>
      <w:proofErr w:type="spellEnd"/>
      <w:r w:rsidR="00A60EF1">
        <w:rPr>
          <w:rFonts w:ascii="Times New Roman" w:hAnsi="Times New Roman" w:cs="Times New Roman"/>
          <w:sz w:val="24"/>
          <w:szCs w:val="24"/>
          <w:lang w:val="en-US"/>
        </w:rPr>
        <w:t>, a PE firm in London)</w:t>
      </w:r>
      <w:r w:rsidRPr="00726B01">
        <w:rPr>
          <w:rFonts w:ascii="Times New Roman" w:hAnsi="Times New Roman" w:cs="Times New Roman"/>
          <w:sz w:val="24"/>
          <w:szCs w:val="24"/>
        </w:rPr>
        <w:t xml:space="preserve"> says that </w:t>
      </w:r>
      <w:r w:rsidR="00A60EF1">
        <w:rPr>
          <w:rFonts w:ascii="Times New Roman" w:hAnsi="Times New Roman" w:cs="Times New Roman"/>
          <w:sz w:val="24"/>
          <w:szCs w:val="24"/>
        </w:rPr>
        <w:t>the innovative business environment is the main advantage for Germany in terms of PE investing despite the investor’s vague relationship to the asset class in the past</w:t>
      </w:r>
      <w:r w:rsidRPr="00726B01">
        <w:rPr>
          <w:rFonts w:ascii="Times New Roman" w:hAnsi="Times New Roman" w:cs="Times New Roman"/>
          <w:sz w:val="24"/>
          <w:szCs w:val="24"/>
        </w:rPr>
        <w:t xml:space="preserve">. Germany </w:t>
      </w:r>
      <w:r w:rsidR="00A60EF1">
        <w:rPr>
          <w:rFonts w:ascii="Times New Roman" w:hAnsi="Times New Roman" w:cs="Times New Roman"/>
          <w:sz w:val="24"/>
          <w:szCs w:val="24"/>
        </w:rPr>
        <w:t>cam therefore be viewed as</w:t>
      </w:r>
      <w:r w:rsidRPr="00726B01">
        <w:rPr>
          <w:rFonts w:ascii="Times New Roman" w:hAnsi="Times New Roman" w:cs="Times New Roman"/>
          <w:sz w:val="24"/>
          <w:szCs w:val="24"/>
        </w:rPr>
        <w:t xml:space="preserve"> a favourable market for </w:t>
      </w:r>
      <w:r w:rsidR="00A60EF1">
        <w:rPr>
          <w:rFonts w:ascii="Times New Roman" w:hAnsi="Times New Roman" w:cs="Times New Roman"/>
          <w:sz w:val="24"/>
          <w:szCs w:val="24"/>
        </w:rPr>
        <w:t>PE</w:t>
      </w:r>
      <w:r w:rsidRPr="00726B01">
        <w:rPr>
          <w:rFonts w:ascii="Times New Roman" w:hAnsi="Times New Roman" w:cs="Times New Roman"/>
          <w:sz w:val="24"/>
          <w:szCs w:val="24"/>
        </w:rPr>
        <w:t xml:space="preserve"> investments, however, there are there are some obstacles for this market to expand. Ross (2014)</w:t>
      </w:r>
      <w:r w:rsidR="00E55E16">
        <w:rPr>
          <w:rFonts w:ascii="Times New Roman" w:hAnsi="Times New Roman" w:cs="Times New Roman"/>
          <w:sz w:val="24"/>
          <w:szCs w:val="24"/>
        </w:rPr>
        <w:t xml:space="preserve"> seems to agree with this and suggests that Germany</w:t>
      </w:r>
      <w:r w:rsidRPr="00726B01">
        <w:rPr>
          <w:rFonts w:ascii="Times New Roman" w:hAnsi="Times New Roman" w:cs="Times New Roman"/>
          <w:sz w:val="24"/>
          <w:szCs w:val="24"/>
        </w:rPr>
        <w:t xml:space="preserve"> is struggling to keep up with many of its global rivals in the size of the stock market. This suggests there are still many possibilities of improvement in the investment industry.</w:t>
      </w:r>
    </w:p>
    <w:p w:rsidR="00A15325" w:rsidRDefault="00A15325" w:rsidP="00A15325">
      <w:pPr>
        <w:spacing w:line="480" w:lineRule="auto"/>
        <w:rPr>
          <w:rStyle w:val="Grmatasnosaukums"/>
          <w:sz w:val="32"/>
          <w:szCs w:val="32"/>
        </w:rPr>
      </w:pPr>
      <w:r w:rsidRPr="00726B01">
        <w:rPr>
          <w:rFonts w:ascii="Times New Roman" w:hAnsi="Times New Roman" w:cs="Times New Roman"/>
          <w:sz w:val="24"/>
          <w:szCs w:val="24"/>
        </w:rPr>
        <w:lastRenderedPageBreak/>
        <w:br w:type="page"/>
      </w:r>
      <w:r>
        <w:rPr>
          <w:rStyle w:val="Grmatasnosaukums"/>
          <w:sz w:val="32"/>
          <w:szCs w:val="32"/>
        </w:rPr>
        <w:lastRenderedPageBreak/>
        <w:t>Methodology</w:t>
      </w:r>
    </w:p>
    <w:p w:rsidR="00F64905" w:rsidRPr="00172691" w:rsidRDefault="00F64905" w:rsidP="00F64905">
      <w:pPr>
        <w:spacing w:line="480" w:lineRule="auto"/>
        <w:rPr>
          <w:b/>
          <w:bCs/>
          <w:smallCaps/>
          <w:spacing w:val="5"/>
          <w:sz w:val="32"/>
          <w:szCs w:val="32"/>
        </w:rPr>
      </w:pPr>
      <w:r w:rsidRPr="00726B01">
        <w:rPr>
          <w:rFonts w:ascii="Times New Roman" w:hAnsi="Times New Roman" w:cs="Times New Roman"/>
          <w:sz w:val="24"/>
          <w:szCs w:val="24"/>
        </w:rPr>
        <w:t>Estimating systematic risk using four-factor model</w:t>
      </w:r>
    </w:p>
    <w:p w:rsidR="00F64905" w:rsidRPr="00726B01" w:rsidRDefault="00F64905" w:rsidP="00F64905">
      <w:pPr>
        <w:spacing w:line="480" w:lineRule="auto"/>
        <w:jc w:val="both"/>
        <w:rPr>
          <w:rFonts w:ascii="Times New Roman" w:hAnsi="Times New Roman" w:cs="Times New Roman"/>
          <w:sz w:val="24"/>
          <w:szCs w:val="24"/>
        </w:rPr>
      </w:pPr>
      <w:r w:rsidRPr="00726B01">
        <w:rPr>
          <w:rFonts w:ascii="Times New Roman" w:hAnsi="Times New Roman" w:cs="Times New Roman"/>
          <w:sz w:val="24"/>
          <w:szCs w:val="24"/>
        </w:rPr>
        <w:t>Risk and return is estimated by us</w:t>
      </w:r>
      <w:r>
        <w:rPr>
          <w:rFonts w:ascii="Times New Roman" w:hAnsi="Times New Roman" w:cs="Times New Roman"/>
          <w:sz w:val="24"/>
          <w:szCs w:val="24"/>
        </w:rPr>
        <w:t>ing Four-Factor Model</w:t>
      </w:r>
    </w:p>
    <w:p w:rsidR="00F64905" w:rsidRPr="00726B01" w:rsidRDefault="00D838A4" w:rsidP="00F64905">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f,τ</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i,τ</m:t>
              </m:r>
            </m:sub>
          </m:sSub>
          <m:r>
            <w:rPr>
              <w:rFonts w:ascii="Cambria Math" w:hAnsi="Cambria Math" w:cs="Times New Roman"/>
              <w:sz w:val="24"/>
              <w:szCs w:val="24"/>
            </w:rPr>
            <m:t xml:space="preserve"> (1)</m:t>
          </m:r>
        </m:oMath>
      </m:oMathPara>
    </w:p>
    <w:p w:rsidR="00F64905" w:rsidRPr="00726B01" w:rsidRDefault="00D838A4" w:rsidP="00F64905">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f,τ</m:t>
                  </m:r>
                </m:sub>
              </m:sSub>
            </m:e>
          </m:d>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i,smb</m:t>
                  </m:r>
                </m:sub>
              </m:sSub>
              <m:sSub>
                <m:sSubPr>
                  <m:ctrlPr>
                    <w:rPr>
                      <w:rFonts w:ascii="Cambria Math" w:hAnsi="Cambria Math" w:cs="Times New Roman"/>
                      <w:i/>
                      <w:sz w:val="24"/>
                      <w:szCs w:val="24"/>
                    </w:rPr>
                  </m:ctrlPr>
                </m:sSubPr>
                <m:e>
                  <m:r>
                    <w:rPr>
                      <w:rFonts w:ascii="Cambria Math" w:hAnsi="Cambria Math" w:cs="Times New Roman"/>
                      <w:sz w:val="24"/>
                      <w:szCs w:val="24"/>
                    </w:rPr>
                    <m:t>SMB</m:t>
                  </m:r>
                </m:e>
                <m:sub>
                  <m:r>
                    <w:rPr>
                      <w:rFonts w:ascii="Cambria Math" w:hAnsi="Cambria Math" w:cs="Times New Roman"/>
                      <w:sz w:val="24"/>
                      <w:szCs w:val="24"/>
                    </w:rPr>
                    <m:t>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i,hml</m:t>
                  </m:r>
                </m:sub>
              </m:sSub>
              <m:sSub>
                <m:sSubPr>
                  <m:ctrlPr>
                    <w:rPr>
                      <w:rFonts w:ascii="Cambria Math" w:hAnsi="Cambria Math" w:cs="Times New Roman"/>
                      <w:i/>
                      <w:sz w:val="24"/>
                      <w:szCs w:val="24"/>
                    </w:rPr>
                  </m:ctrlPr>
                </m:sSubPr>
                <m:e>
                  <m:r>
                    <w:rPr>
                      <w:rFonts w:ascii="Cambria Math" w:hAnsi="Cambria Math" w:cs="Times New Roman"/>
                      <w:sz w:val="24"/>
                      <w:szCs w:val="24"/>
                    </w:rPr>
                    <m:t>HML</m:t>
                  </m:r>
                </m:e>
                <m:sub>
                  <m:r>
                    <w:rPr>
                      <w:rFonts w:ascii="Cambria Math" w:hAnsi="Cambria Math" w:cs="Times New Roman"/>
                      <w:sz w:val="24"/>
                      <w:szCs w:val="24"/>
                    </w:rPr>
                    <m:t>τ</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i,wml</m:t>
                  </m:r>
                </m:sub>
              </m:sSub>
              <m:sSub>
                <m:sSubPr>
                  <m:ctrlPr>
                    <w:rPr>
                      <w:rFonts w:ascii="Cambria Math" w:hAnsi="Cambria Math" w:cs="Times New Roman"/>
                      <w:i/>
                      <w:sz w:val="24"/>
                      <w:szCs w:val="24"/>
                    </w:rPr>
                  </m:ctrlPr>
                </m:sSubPr>
                <m:e>
                  <m:r>
                    <w:rPr>
                      <w:rFonts w:ascii="Cambria Math" w:hAnsi="Cambria Math" w:cs="Times New Roman"/>
                      <w:sz w:val="24"/>
                      <w:szCs w:val="24"/>
                    </w:rPr>
                    <m:t>WML</m:t>
                  </m:r>
                </m:e>
                <m:sub>
                  <m:r>
                    <w:rPr>
                      <w:rFonts w:ascii="Cambria Math" w:hAnsi="Cambria Math" w:cs="Times New Roman"/>
                      <w:sz w:val="24"/>
                      <w:szCs w:val="24"/>
                    </w:rPr>
                    <m:t>τ</m:t>
                  </m:r>
                </m:sub>
              </m:sSub>
              <m:r>
                <w:rPr>
                  <w:rFonts w:ascii="Cambria Math" w:hAnsi="Cambria Math" w:cs="Times New Roman"/>
                  <w:sz w:val="24"/>
                  <w:szCs w:val="24"/>
                </w:rPr>
                <m:t>+ε</m:t>
              </m:r>
            </m:e>
            <m:sub>
              <m:r>
                <w:rPr>
                  <w:rFonts w:ascii="Cambria Math" w:hAnsi="Cambria Math" w:cs="Times New Roman"/>
                  <w:sz w:val="24"/>
                  <w:szCs w:val="24"/>
                </w:rPr>
                <m:t>i,τ</m:t>
              </m:r>
            </m:sub>
          </m:sSub>
          <m:r>
            <w:rPr>
              <w:rFonts w:ascii="Cambria Math" w:hAnsi="Cambria Math" w:cs="Times New Roman"/>
              <w:sz w:val="24"/>
              <w:szCs w:val="24"/>
            </w:rPr>
            <m:t xml:space="preserve"> (2)</m:t>
          </m:r>
        </m:oMath>
      </m:oMathPara>
    </w:p>
    <w:p w:rsidR="00F64905" w:rsidRDefault="00F64905" w:rsidP="00F64905">
      <w:pPr>
        <w:spacing w:line="480" w:lineRule="auto"/>
        <w:rPr>
          <w:rFonts w:ascii="Times New Roman" w:eastAsiaTheme="minorEastAsia" w:hAnsi="Times New Roman" w:cs="Times New Roman"/>
          <w:sz w:val="24"/>
          <w:szCs w:val="24"/>
        </w:rPr>
      </w:pPr>
      <w:r w:rsidRPr="00726B01">
        <w:rPr>
          <w:rFonts w:ascii="Times New Roman" w:eastAsiaTheme="minorEastAsia" w:hAnsi="Times New Roman" w:cs="Times New Roman"/>
          <w:sz w:val="24"/>
          <w:szCs w:val="24"/>
        </w:rPr>
        <w:t xml:space="preserve">Where </w:t>
      </w:r>
      <w:proofErr w:type="spellStart"/>
      <w:r w:rsidRPr="00726B01">
        <w:rPr>
          <w:rFonts w:ascii="Times New Roman" w:eastAsiaTheme="minorEastAsia" w:hAnsi="Times New Roman" w:cs="Times New Roman"/>
          <w:sz w:val="24"/>
          <w:szCs w:val="24"/>
        </w:rPr>
        <w:t>R</w:t>
      </w:r>
      <w:r w:rsidRPr="00726B01">
        <w:rPr>
          <w:rFonts w:ascii="Times New Roman" w:eastAsiaTheme="minorEastAsia" w:hAnsi="Times New Roman" w:cs="Times New Roman"/>
          <w:sz w:val="24"/>
          <w:szCs w:val="24"/>
          <w:vertAlign w:val="subscript"/>
        </w:rPr>
        <w:t>i</w:t>
      </w:r>
      <w:proofErr w:type="gramStart"/>
      <w:r w:rsidRPr="00726B01">
        <w:rPr>
          <w:rFonts w:ascii="Times New Roman" w:eastAsiaTheme="minorEastAsia" w:hAnsi="Times New Roman" w:cs="Times New Roman"/>
          <w:sz w:val="24"/>
          <w:szCs w:val="24"/>
          <w:vertAlign w:val="subscript"/>
        </w:rPr>
        <w:t>,τ</w:t>
      </w:r>
      <w:proofErr w:type="spellEnd"/>
      <w:proofErr w:type="gramEnd"/>
      <w:r w:rsidRPr="00726B01">
        <w:rPr>
          <w:rFonts w:ascii="Times New Roman" w:eastAsiaTheme="minorEastAsia" w:hAnsi="Times New Roman" w:cs="Times New Roman"/>
          <w:sz w:val="24"/>
          <w:szCs w:val="24"/>
        </w:rPr>
        <w:t xml:space="preserve"> is the firm profit on asset </w:t>
      </w:r>
      <w:proofErr w:type="spellStart"/>
      <w:r w:rsidRPr="00726B01">
        <w:rPr>
          <w:rFonts w:ascii="Times New Roman" w:eastAsiaTheme="minorEastAsia" w:hAnsi="Times New Roman" w:cs="Times New Roman"/>
          <w:sz w:val="24"/>
          <w:szCs w:val="24"/>
        </w:rPr>
        <w:t>i</w:t>
      </w:r>
      <w:proofErr w:type="spellEnd"/>
      <w:r w:rsidRPr="00726B01">
        <w:rPr>
          <w:rFonts w:ascii="Times New Roman" w:eastAsiaTheme="minorEastAsia" w:hAnsi="Times New Roman" w:cs="Times New Roman"/>
          <w:sz w:val="24"/>
          <w:szCs w:val="24"/>
        </w:rPr>
        <w:t xml:space="preserve">, </w:t>
      </w:r>
      <w:proofErr w:type="spellStart"/>
      <w:r w:rsidRPr="00726B01">
        <w:rPr>
          <w:rFonts w:ascii="Times New Roman" w:eastAsiaTheme="minorEastAsia" w:hAnsi="Times New Roman" w:cs="Times New Roman"/>
          <w:sz w:val="24"/>
          <w:szCs w:val="24"/>
        </w:rPr>
        <w:t>R</w:t>
      </w:r>
      <w:r w:rsidRPr="00726B01">
        <w:rPr>
          <w:rFonts w:ascii="Times New Roman" w:eastAsiaTheme="minorEastAsia" w:hAnsi="Times New Roman" w:cs="Times New Roman"/>
          <w:sz w:val="24"/>
          <w:szCs w:val="24"/>
          <w:vertAlign w:val="subscript"/>
        </w:rPr>
        <w:t>m,τ</w:t>
      </w:r>
      <w:proofErr w:type="spellEnd"/>
      <w:r w:rsidRPr="00726B01">
        <w:rPr>
          <w:rFonts w:ascii="Times New Roman" w:eastAsiaTheme="minorEastAsia" w:hAnsi="Times New Roman" w:cs="Times New Roman"/>
          <w:sz w:val="24"/>
          <w:szCs w:val="24"/>
        </w:rPr>
        <w:t xml:space="preserve">  is the Germany market return, and </w:t>
      </w:r>
      <w:proofErr w:type="spellStart"/>
      <w:r w:rsidRPr="00726B01">
        <w:rPr>
          <w:rFonts w:ascii="Times New Roman" w:eastAsiaTheme="minorEastAsia" w:hAnsi="Times New Roman" w:cs="Times New Roman"/>
          <w:sz w:val="24"/>
          <w:szCs w:val="24"/>
        </w:rPr>
        <w:t>R</w:t>
      </w:r>
      <w:r w:rsidRPr="00726B01">
        <w:rPr>
          <w:rFonts w:ascii="Times New Roman" w:eastAsiaTheme="minorEastAsia" w:hAnsi="Times New Roman" w:cs="Times New Roman"/>
          <w:sz w:val="24"/>
          <w:szCs w:val="24"/>
          <w:vertAlign w:val="subscript"/>
        </w:rPr>
        <w:t>f,τ</w:t>
      </w:r>
      <w:proofErr w:type="spellEnd"/>
      <w:r w:rsidRPr="00726B01">
        <w:rPr>
          <w:rFonts w:ascii="Times New Roman" w:eastAsiaTheme="minorEastAsia" w:hAnsi="Times New Roman" w:cs="Times New Roman"/>
          <w:sz w:val="24"/>
          <w:szCs w:val="24"/>
        </w:rPr>
        <w:t xml:space="preserve"> is the risk-free rate for month t, respectively. </w:t>
      </w:r>
      <w:proofErr w:type="spellStart"/>
      <w:r w:rsidRPr="00726B01">
        <w:rPr>
          <w:rFonts w:ascii="Times New Roman" w:eastAsiaTheme="minorEastAsia" w:hAnsi="Times New Roman" w:cs="Times New Roman"/>
          <w:sz w:val="24"/>
          <w:szCs w:val="24"/>
        </w:rPr>
        <w:t>SMB</w:t>
      </w:r>
      <w:r w:rsidRPr="00726B01">
        <w:rPr>
          <w:rFonts w:ascii="Times New Roman" w:eastAsiaTheme="minorEastAsia" w:hAnsi="Times New Roman" w:cs="Times New Roman"/>
          <w:sz w:val="24"/>
          <w:szCs w:val="24"/>
          <w:vertAlign w:val="subscript"/>
        </w:rPr>
        <w:t>t</w:t>
      </w:r>
      <w:proofErr w:type="spellEnd"/>
      <w:r w:rsidRPr="00726B01">
        <w:rPr>
          <w:rFonts w:ascii="Times New Roman" w:eastAsiaTheme="minorEastAsia" w:hAnsi="Times New Roman" w:cs="Times New Roman"/>
          <w:sz w:val="24"/>
          <w:szCs w:val="24"/>
        </w:rPr>
        <w:t xml:space="preserve"> is the difference between the returns on diversified portfolios of small stocks and big stocks; </w:t>
      </w:r>
      <w:proofErr w:type="spellStart"/>
      <w:r w:rsidRPr="00726B01">
        <w:rPr>
          <w:rFonts w:ascii="Times New Roman" w:eastAsiaTheme="minorEastAsia" w:hAnsi="Times New Roman" w:cs="Times New Roman"/>
          <w:sz w:val="24"/>
          <w:szCs w:val="24"/>
        </w:rPr>
        <w:t>HML</w:t>
      </w:r>
      <w:r w:rsidRPr="00726B01">
        <w:rPr>
          <w:rFonts w:ascii="Times New Roman" w:eastAsiaTheme="minorEastAsia" w:hAnsi="Times New Roman" w:cs="Times New Roman"/>
          <w:sz w:val="24"/>
          <w:szCs w:val="24"/>
          <w:vertAlign w:val="subscript"/>
        </w:rPr>
        <w:t>t</w:t>
      </w:r>
      <w:proofErr w:type="spellEnd"/>
      <w:r w:rsidRPr="00726B01">
        <w:rPr>
          <w:rFonts w:ascii="Times New Roman" w:eastAsiaTheme="minorEastAsia" w:hAnsi="Times New Roman" w:cs="Times New Roman"/>
          <w:sz w:val="24"/>
          <w:szCs w:val="24"/>
        </w:rPr>
        <w:t xml:space="preserve"> is the difference between returns on diversified portfolios of high book-to-market (value) stocks and low book-to-market (growth) stocks; and </w:t>
      </w:r>
      <w:proofErr w:type="spellStart"/>
      <w:r w:rsidRPr="00726B01">
        <w:rPr>
          <w:rFonts w:ascii="Times New Roman" w:eastAsiaTheme="minorEastAsia" w:hAnsi="Times New Roman" w:cs="Times New Roman"/>
          <w:sz w:val="24"/>
          <w:szCs w:val="24"/>
        </w:rPr>
        <w:t>WML</w:t>
      </w:r>
      <w:r w:rsidRPr="00726B01">
        <w:rPr>
          <w:rFonts w:ascii="Times New Roman" w:eastAsiaTheme="minorEastAsia" w:hAnsi="Times New Roman" w:cs="Times New Roman"/>
          <w:sz w:val="24"/>
          <w:szCs w:val="24"/>
          <w:vertAlign w:val="subscript"/>
        </w:rPr>
        <w:t>t</w:t>
      </w:r>
      <w:proofErr w:type="spellEnd"/>
      <w:r w:rsidRPr="00726B01">
        <w:rPr>
          <w:rFonts w:ascii="Times New Roman" w:eastAsiaTheme="minorEastAsia" w:hAnsi="Times New Roman" w:cs="Times New Roman"/>
          <w:sz w:val="24"/>
          <w:szCs w:val="24"/>
        </w:rPr>
        <w:t xml:space="preserve"> is the difference between the month t returns on diversified portfolios of the winners and losers</w:t>
      </w:r>
      <w:r>
        <w:rPr>
          <w:rFonts w:ascii="Times New Roman" w:eastAsiaTheme="minorEastAsia" w:hAnsi="Times New Roman" w:cs="Times New Roman"/>
          <w:sz w:val="24"/>
          <w:szCs w:val="24"/>
        </w:rPr>
        <w:t xml:space="preserve"> </w:t>
      </w:r>
      <w:r w:rsidRPr="00726B01">
        <w:rPr>
          <w:rFonts w:ascii="Times New Roman" w:hAnsi="Times New Roman" w:cs="Times New Roman"/>
          <w:sz w:val="24"/>
          <w:szCs w:val="24"/>
        </w:rPr>
        <w:t>(</w:t>
      </w:r>
      <w:proofErr w:type="spellStart"/>
      <w:r w:rsidRPr="00726B01">
        <w:rPr>
          <w:rFonts w:ascii="Times New Roman" w:hAnsi="Times New Roman" w:cs="Times New Roman"/>
          <w:sz w:val="24"/>
          <w:szCs w:val="24"/>
        </w:rPr>
        <w:t>Fama</w:t>
      </w:r>
      <w:proofErr w:type="spellEnd"/>
      <w:r>
        <w:rPr>
          <w:rFonts w:ascii="Times New Roman" w:hAnsi="Times New Roman" w:cs="Times New Roman"/>
          <w:sz w:val="24"/>
          <w:szCs w:val="24"/>
        </w:rPr>
        <w:t>,</w:t>
      </w:r>
      <w:r w:rsidRPr="00726B01">
        <w:rPr>
          <w:rFonts w:ascii="Times New Roman" w:hAnsi="Times New Roman" w:cs="Times New Roman"/>
          <w:sz w:val="24"/>
          <w:szCs w:val="24"/>
        </w:rPr>
        <w:t xml:space="preserve"> French</w:t>
      </w:r>
      <w:r>
        <w:rPr>
          <w:rFonts w:ascii="Times New Roman" w:hAnsi="Times New Roman" w:cs="Times New Roman"/>
          <w:sz w:val="24"/>
          <w:szCs w:val="24"/>
        </w:rPr>
        <w:t>,</w:t>
      </w:r>
      <w:r w:rsidRPr="00726B01">
        <w:rPr>
          <w:rFonts w:ascii="Times New Roman" w:hAnsi="Times New Roman" w:cs="Times New Roman"/>
          <w:sz w:val="24"/>
          <w:szCs w:val="24"/>
        </w:rPr>
        <w:t xml:space="preserve"> 1993)</w:t>
      </w:r>
      <w:r w:rsidRPr="006F11C0">
        <w:rPr>
          <w:rFonts w:ascii="Times New Roman" w:hAnsi="Times New Roman" w:cs="Times New Roman"/>
          <w:sz w:val="24"/>
          <w:szCs w:val="24"/>
        </w:rPr>
        <w:t xml:space="preserve"> (</w:t>
      </w:r>
      <w:proofErr w:type="spellStart"/>
      <w:r w:rsidRPr="006F11C0">
        <w:rPr>
          <w:rFonts w:ascii="Times New Roman" w:hAnsi="Times New Roman" w:cs="Times New Roman"/>
          <w:sz w:val="24"/>
          <w:szCs w:val="24"/>
        </w:rPr>
        <w:t>Jegadeesh</w:t>
      </w:r>
      <w:proofErr w:type="spellEnd"/>
      <w:r w:rsidRPr="006F11C0">
        <w:rPr>
          <w:rFonts w:ascii="Times New Roman" w:hAnsi="Times New Roman" w:cs="Times New Roman"/>
          <w:sz w:val="24"/>
          <w:szCs w:val="24"/>
        </w:rPr>
        <w:t xml:space="preserve">, </w:t>
      </w:r>
      <w:proofErr w:type="spellStart"/>
      <w:r w:rsidRPr="006F11C0">
        <w:rPr>
          <w:rFonts w:ascii="Times New Roman" w:hAnsi="Times New Roman" w:cs="Times New Roman"/>
          <w:sz w:val="24"/>
          <w:szCs w:val="24"/>
        </w:rPr>
        <w:t>Kräussl</w:t>
      </w:r>
      <w:proofErr w:type="spellEnd"/>
      <w:r w:rsidRPr="006F11C0">
        <w:rPr>
          <w:rFonts w:ascii="Times New Roman" w:hAnsi="Times New Roman" w:cs="Times New Roman"/>
          <w:sz w:val="24"/>
          <w:szCs w:val="24"/>
        </w:rPr>
        <w:t xml:space="preserve">, </w:t>
      </w:r>
      <w:proofErr w:type="spellStart"/>
      <w:r w:rsidRPr="006F11C0">
        <w:rPr>
          <w:rFonts w:ascii="Times New Roman" w:hAnsi="Times New Roman" w:cs="Times New Roman"/>
          <w:sz w:val="24"/>
          <w:szCs w:val="24"/>
        </w:rPr>
        <w:t>Pollet</w:t>
      </w:r>
      <w:proofErr w:type="spellEnd"/>
      <w:r w:rsidRPr="006F11C0">
        <w:rPr>
          <w:rFonts w:ascii="Times New Roman" w:hAnsi="Times New Roman" w:cs="Times New Roman"/>
          <w:sz w:val="24"/>
          <w:szCs w:val="24"/>
        </w:rPr>
        <w:t>, 2009).</w:t>
      </w:r>
      <w:r w:rsidRPr="00726B01">
        <w:rPr>
          <w:rFonts w:ascii="Times New Roman" w:eastAsiaTheme="minorEastAsia" w:hAnsi="Times New Roman" w:cs="Times New Roman"/>
          <w:sz w:val="24"/>
          <w:szCs w:val="24"/>
        </w:rPr>
        <w:t>.</w:t>
      </w:r>
    </w:p>
    <w:p w:rsidR="00685DA2" w:rsidRDefault="00685DA2" w:rsidP="00F6490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Sharp Ratio</w:t>
      </w:r>
    </w:p>
    <w:p w:rsidR="00685DA2" w:rsidRPr="00726B01" w:rsidRDefault="00685DA2" w:rsidP="00F64905">
      <w:pPr>
        <w:spacing w:line="480" w:lineRule="auto"/>
        <w:rPr>
          <w:rFonts w:ascii="Times New Roman" w:hAnsi="Times New Roman" w:cs="Times New Roman"/>
          <w:sz w:val="24"/>
          <w:szCs w:val="24"/>
        </w:rPr>
      </w:pPr>
    </w:p>
    <w:p w:rsidR="00A15325" w:rsidRPr="004E390C" w:rsidRDefault="00A15325" w:rsidP="00A15325">
      <w:pPr>
        <w:spacing w:line="480" w:lineRule="auto"/>
        <w:rPr>
          <w:rStyle w:val="Grmatasnosaukums"/>
          <w:rFonts w:ascii="Times New Roman" w:hAnsi="Times New Roman" w:cs="Times New Roman"/>
          <w:sz w:val="32"/>
          <w:szCs w:val="32"/>
        </w:rPr>
      </w:pPr>
      <w:r w:rsidRPr="004E390C">
        <w:rPr>
          <w:rStyle w:val="Grmatasnosaukums"/>
          <w:rFonts w:ascii="Times New Roman" w:hAnsi="Times New Roman" w:cs="Times New Roman"/>
          <w:sz w:val="32"/>
          <w:szCs w:val="32"/>
        </w:rPr>
        <w:t>Construction of private equity indices</w:t>
      </w:r>
    </w:p>
    <w:p w:rsidR="00A15325" w:rsidRPr="00726B01" w:rsidRDefault="00A15325" w:rsidP="00A15325">
      <w:pPr>
        <w:spacing w:line="480" w:lineRule="auto"/>
        <w:rPr>
          <w:rFonts w:ascii="Times New Roman" w:hAnsi="Times New Roman" w:cs="Times New Roman"/>
          <w:sz w:val="24"/>
          <w:szCs w:val="24"/>
        </w:rPr>
      </w:pPr>
      <w:r w:rsidRPr="00726B01">
        <w:rPr>
          <w:rFonts w:ascii="Times New Roman" w:hAnsi="Times New Roman" w:cs="Times New Roman"/>
          <w:sz w:val="24"/>
          <w:szCs w:val="24"/>
        </w:rPr>
        <w:t>The</w:t>
      </w:r>
      <w:r w:rsidR="002C6C48">
        <w:rPr>
          <w:rFonts w:ascii="Times New Roman" w:hAnsi="Times New Roman" w:cs="Times New Roman"/>
          <w:sz w:val="24"/>
          <w:szCs w:val="24"/>
        </w:rPr>
        <w:t xml:space="preserve"> index returns for an L</w:t>
      </w:r>
      <w:r w:rsidRPr="00726B01">
        <w:rPr>
          <w:rFonts w:ascii="Times New Roman" w:hAnsi="Times New Roman" w:cs="Times New Roman"/>
          <w:sz w:val="24"/>
          <w:szCs w:val="24"/>
        </w:rPr>
        <w:t>PE investment</w:t>
      </w:r>
      <w:r w:rsidR="002C6C48">
        <w:rPr>
          <w:rFonts w:ascii="Times New Roman" w:hAnsi="Times New Roman" w:cs="Times New Roman"/>
          <w:sz w:val="24"/>
          <w:szCs w:val="24"/>
        </w:rPr>
        <w:t xml:space="preserve"> is</w:t>
      </w:r>
      <w:r w:rsidRPr="00726B01">
        <w:rPr>
          <w:rFonts w:ascii="Times New Roman" w:hAnsi="Times New Roman" w:cs="Times New Roman"/>
          <w:sz w:val="24"/>
          <w:szCs w:val="24"/>
        </w:rPr>
        <w:t xml:space="preserve"> determined as the return on a portfol</w:t>
      </w:r>
      <w:r w:rsidR="002C6C48">
        <w:rPr>
          <w:rFonts w:ascii="Times New Roman" w:hAnsi="Times New Roman" w:cs="Times New Roman"/>
          <w:sz w:val="24"/>
          <w:szCs w:val="24"/>
        </w:rPr>
        <w:t>io that consists of out sample c</w:t>
      </w:r>
      <w:r w:rsidRPr="00726B01">
        <w:rPr>
          <w:rFonts w:ascii="Times New Roman" w:hAnsi="Times New Roman" w:cs="Times New Roman"/>
          <w:sz w:val="24"/>
          <w:szCs w:val="24"/>
        </w:rPr>
        <w:t xml:space="preserve">ompanies. </w:t>
      </w:r>
    </w:p>
    <w:p w:rsidR="00A15325" w:rsidRPr="00454AB0" w:rsidRDefault="00A15325" w:rsidP="00A15325">
      <w:pPr>
        <w:pStyle w:val="Virsraksts4"/>
      </w:pPr>
      <w:r w:rsidRPr="00726B01">
        <w:lastRenderedPageBreak/>
        <w:t>Market based returns</w:t>
      </w:r>
    </w:p>
    <w:p w:rsidR="00A15325" w:rsidRPr="00726B01" w:rsidRDefault="00A15325" w:rsidP="00A15325">
      <w:pPr>
        <w:spacing w:line="480" w:lineRule="auto"/>
        <w:rPr>
          <w:rFonts w:ascii="Times New Roman" w:hAnsi="Times New Roman" w:cs="Times New Roman"/>
          <w:sz w:val="24"/>
          <w:szCs w:val="24"/>
        </w:rPr>
      </w:pPr>
      <w:r w:rsidRPr="00726B01">
        <w:rPr>
          <w:rFonts w:ascii="Times New Roman" w:hAnsi="Times New Roman" w:cs="Times New Roman"/>
          <w:sz w:val="24"/>
          <w:szCs w:val="24"/>
        </w:rPr>
        <w:t xml:space="preserve">Market based </w:t>
      </w:r>
      <w:r w:rsidR="00B50210">
        <w:rPr>
          <w:rFonts w:ascii="Times New Roman" w:hAnsi="Times New Roman" w:cs="Times New Roman"/>
          <w:sz w:val="24"/>
          <w:szCs w:val="24"/>
        </w:rPr>
        <w:t>daily</w:t>
      </w:r>
      <w:r w:rsidRPr="00726B01">
        <w:rPr>
          <w:rFonts w:ascii="Times New Roman" w:hAnsi="Times New Roman" w:cs="Times New Roman"/>
          <w:sz w:val="24"/>
          <w:szCs w:val="24"/>
        </w:rPr>
        <w:t xml:space="preserve"> returns are extracted using Thompson Reuters DataStream. They present the theoretical growth in the value of stock assuming that dividends are reinvested in the stock at the current price.</w:t>
      </w:r>
    </w:p>
    <w:p w:rsidR="00A15325" w:rsidRPr="00726B01" w:rsidRDefault="00A15325" w:rsidP="00A15325">
      <w:pPr>
        <w:spacing w:line="480" w:lineRule="auto"/>
        <w:jc w:val="center"/>
        <w:rPr>
          <w:rFonts w:ascii="Times New Roman" w:hAnsi="Times New Roman" w:cs="Times New Roman"/>
          <w:sz w:val="24"/>
          <w:szCs w:val="24"/>
        </w:rPr>
      </w:pPr>
      <w:r w:rsidRPr="00726B01">
        <w:rPr>
          <w:rFonts w:ascii="Times New Roman" w:hAnsi="Times New Roman" w:cs="Times New Roman"/>
          <w:noProof/>
          <w:sz w:val="24"/>
          <w:szCs w:val="24"/>
          <w:lang w:val="lv-LV" w:eastAsia="lv-LV"/>
        </w:rPr>
        <w:drawing>
          <wp:inline distT="0" distB="0" distL="0" distR="0" wp14:anchorId="718A0AC0" wp14:editId="57CB4C14">
            <wp:extent cx="3255645" cy="8032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645" cy="803275"/>
                    </a:xfrm>
                    <a:prstGeom prst="rect">
                      <a:avLst/>
                    </a:prstGeom>
                    <a:noFill/>
                    <a:ln>
                      <a:noFill/>
                    </a:ln>
                  </pic:spPr>
                </pic:pic>
              </a:graphicData>
            </a:graphic>
          </wp:inline>
        </w:drawing>
      </w:r>
    </w:p>
    <w:p w:rsidR="00A15325" w:rsidRDefault="00A15325" w:rsidP="00A15325">
      <w:pPr>
        <w:spacing w:line="480" w:lineRule="auto"/>
        <w:rPr>
          <w:rFonts w:ascii="Times New Roman" w:hAnsi="Times New Roman" w:cs="Times New Roman"/>
          <w:sz w:val="24"/>
          <w:szCs w:val="24"/>
        </w:rPr>
      </w:pPr>
      <w:r w:rsidRPr="00726B01">
        <w:rPr>
          <w:rFonts w:ascii="Times New Roman" w:hAnsi="Times New Roman" w:cs="Times New Roman"/>
          <w:sz w:val="24"/>
          <w:szCs w:val="24"/>
        </w:rPr>
        <w:t xml:space="preserve">Here, </w:t>
      </w:r>
      <w:proofErr w:type="spellStart"/>
      <w:r w:rsidRPr="00726B01">
        <w:rPr>
          <w:rFonts w:ascii="Times New Roman" w:hAnsi="Times New Roman" w:cs="Times New Roman"/>
          <w:sz w:val="24"/>
          <w:szCs w:val="24"/>
        </w:rPr>
        <w:t>RIt</w:t>
      </w:r>
      <w:proofErr w:type="spellEnd"/>
      <w:r w:rsidRPr="00726B01">
        <w:rPr>
          <w:rFonts w:ascii="Times New Roman" w:hAnsi="Times New Roman" w:cs="Times New Roman"/>
          <w:sz w:val="24"/>
          <w:szCs w:val="24"/>
        </w:rPr>
        <w:t xml:space="preserve"> and </w:t>
      </w:r>
      <w:proofErr w:type="spellStart"/>
      <w:r w:rsidRPr="00726B01">
        <w:rPr>
          <w:rFonts w:ascii="Times New Roman" w:hAnsi="Times New Roman" w:cs="Times New Roman"/>
          <w:sz w:val="24"/>
          <w:szCs w:val="24"/>
        </w:rPr>
        <w:t>PIt</w:t>
      </w:r>
      <w:proofErr w:type="spellEnd"/>
      <w:r w:rsidRPr="00726B01">
        <w:rPr>
          <w:rFonts w:ascii="Times New Roman" w:hAnsi="Times New Roman" w:cs="Times New Roman"/>
          <w:sz w:val="24"/>
          <w:szCs w:val="24"/>
        </w:rPr>
        <w:t xml:space="preserve"> are return and price </w:t>
      </w:r>
      <w:proofErr w:type="spellStart"/>
      <w:r w:rsidRPr="00726B01">
        <w:rPr>
          <w:rFonts w:ascii="Times New Roman" w:hAnsi="Times New Roman" w:cs="Times New Roman"/>
          <w:sz w:val="24"/>
          <w:szCs w:val="24"/>
        </w:rPr>
        <w:t>indecies</w:t>
      </w:r>
      <w:proofErr w:type="spellEnd"/>
      <w:r w:rsidRPr="00726B01">
        <w:rPr>
          <w:rFonts w:ascii="Times New Roman" w:hAnsi="Times New Roman" w:cs="Times New Roman"/>
          <w:sz w:val="24"/>
          <w:szCs w:val="24"/>
        </w:rPr>
        <w:t xml:space="preserve"> on a day t, RIt-1 and Pit-1 are return </w:t>
      </w:r>
      <w:proofErr w:type="spellStart"/>
      <w:r w:rsidRPr="00726B01">
        <w:rPr>
          <w:rFonts w:ascii="Times New Roman" w:hAnsi="Times New Roman" w:cs="Times New Roman"/>
          <w:sz w:val="24"/>
          <w:szCs w:val="24"/>
        </w:rPr>
        <w:t>indecies</w:t>
      </w:r>
      <w:proofErr w:type="spellEnd"/>
      <w:r w:rsidRPr="00726B01">
        <w:rPr>
          <w:rFonts w:ascii="Times New Roman" w:hAnsi="Times New Roman" w:cs="Times New Roman"/>
          <w:sz w:val="24"/>
          <w:szCs w:val="24"/>
        </w:rPr>
        <w:t xml:space="preserve"> on the previous day, DY is the dividend yield of the price index and f is the growing factor used if the reported divided is a net rather than gross figure, n is the number of da</w:t>
      </w:r>
      <w:r>
        <w:rPr>
          <w:rFonts w:ascii="Times New Roman" w:hAnsi="Times New Roman" w:cs="Times New Roman"/>
          <w:sz w:val="24"/>
          <w:szCs w:val="24"/>
        </w:rPr>
        <w:t xml:space="preserve">ys in the financial year * 100 </w:t>
      </w:r>
      <w:sdt>
        <w:sdtPr>
          <w:rPr>
            <w:rFonts w:ascii="Times New Roman" w:hAnsi="Times New Roman" w:cs="Times New Roman"/>
            <w:sz w:val="24"/>
            <w:szCs w:val="24"/>
          </w:rPr>
          <w:id w:val="-9656536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Tho15 \l 2057 </w:instrText>
          </w:r>
          <w:r>
            <w:rPr>
              <w:rFonts w:ascii="Times New Roman" w:hAnsi="Times New Roman" w:cs="Times New Roman"/>
              <w:sz w:val="24"/>
              <w:szCs w:val="24"/>
            </w:rPr>
            <w:fldChar w:fldCharType="separate"/>
          </w:r>
          <w:r w:rsidRPr="00106CBA">
            <w:rPr>
              <w:rFonts w:ascii="Times New Roman" w:hAnsi="Times New Roman" w:cs="Times New Roman"/>
              <w:noProof/>
              <w:sz w:val="24"/>
              <w:szCs w:val="24"/>
            </w:rPr>
            <w:t>(Thompson Reuters)</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B50210">
        <w:rPr>
          <w:rFonts w:ascii="Times New Roman" w:hAnsi="Times New Roman" w:cs="Times New Roman"/>
          <w:sz w:val="24"/>
          <w:szCs w:val="24"/>
        </w:rPr>
        <w:t xml:space="preserve"> Measurements used for Markov switching model are based on daily log returns of current period over the previous one while measurements used for four-factor model are used simply as decimal returns.</w:t>
      </w:r>
    </w:p>
    <w:p w:rsidR="00A15325" w:rsidRDefault="00A15325" w:rsidP="00A15325">
      <w:pPr>
        <w:spacing w:line="480" w:lineRule="auto"/>
        <w:rPr>
          <w:rFonts w:ascii="Times New Roman" w:hAnsi="Times New Roman" w:cs="Times New Roman"/>
          <w:sz w:val="24"/>
          <w:szCs w:val="24"/>
        </w:rPr>
      </w:pPr>
      <w:r>
        <w:rPr>
          <w:rFonts w:ascii="Times New Roman" w:hAnsi="Times New Roman" w:cs="Times New Roman"/>
          <w:sz w:val="24"/>
          <w:szCs w:val="24"/>
        </w:rPr>
        <w:t>Basic risk and return characteristics of LPE</w:t>
      </w:r>
    </w:p>
    <w:p w:rsidR="00A15325" w:rsidRPr="00106CBA" w:rsidRDefault="00A15325" w:rsidP="00A15325">
      <w:pPr>
        <w:spacing w:line="480" w:lineRule="auto"/>
        <w:rPr>
          <w:rFonts w:ascii="Times New Roman" w:hAnsi="Times New Roman" w:cs="Times New Roman"/>
          <w:sz w:val="24"/>
          <w:szCs w:val="24"/>
        </w:rPr>
      </w:pPr>
      <w:r>
        <w:rPr>
          <w:rFonts w:ascii="Times New Roman" w:hAnsi="Times New Roman" w:cs="Times New Roman"/>
          <w:sz w:val="24"/>
          <w:szCs w:val="24"/>
        </w:rPr>
        <w:t xml:space="preserve">According to (ZIMMERMAN), three factors have to be taken into account when characterizing basic risk and return properties for LPE. Firstly, since the number of listed companies increases over period, index of LPE portfolio has to be rebalanced over time. Secondly, since sample is heterogeneous regarding market capitalization of each of the firms, the performance of companies observed is also </w:t>
      </w:r>
      <w:proofErr w:type="spellStart"/>
      <w:r>
        <w:rPr>
          <w:rFonts w:ascii="Times New Roman" w:hAnsi="Times New Roman" w:cs="Times New Roman"/>
          <w:sz w:val="24"/>
          <w:szCs w:val="24"/>
        </w:rPr>
        <w:t>heterogenous</w:t>
      </w:r>
      <w:proofErr w:type="spellEnd"/>
      <w:r>
        <w:rPr>
          <w:rFonts w:ascii="Times New Roman" w:hAnsi="Times New Roman" w:cs="Times New Roman"/>
          <w:sz w:val="24"/>
          <w:szCs w:val="24"/>
        </w:rPr>
        <w:t>. Thirdly, the returns of the stocks tend to be illiquid over a small period of time in our sample. In order to account for these effects, we use different strategies for combining a portfolio of LPE similar to (ZIMMERMAN).</w:t>
      </w:r>
    </w:p>
    <w:p w:rsidR="00A15325" w:rsidRPr="00726B01" w:rsidRDefault="00A15325" w:rsidP="00A15325">
      <w:pPr>
        <w:pStyle w:val="Virsraksts4"/>
      </w:pPr>
      <w:r w:rsidRPr="00726B01">
        <w:lastRenderedPageBreak/>
        <w:t>Value-weighted portfolio</w:t>
      </w:r>
    </w:p>
    <w:p w:rsidR="00A15325" w:rsidRPr="00726B01" w:rsidRDefault="00A15325" w:rsidP="00A15325">
      <w:pPr>
        <w:spacing w:line="480" w:lineRule="auto"/>
        <w:rPr>
          <w:rFonts w:ascii="Times New Roman" w:hAnsi="Times New Roman" w:cs="Times New Roman"/>
          <w:sz w:val="24"/>
          <w:szCs w:val="24"/>
        </w:rPr>
      </w:pPr>
      <w:r w:rsidRPr="00726B01">
        <w:rPr>
          <w:rFonts w:ascii="Times New Roman" w:hAnsi="Times New Roman" w:cs="Times New Roman"/>
          <w:sz w:val="24"/>
          <w:szCs w:val="24"/>
        </w:rPr>
        <w:t xml:space="preserve">When constructing index based on the company value, weights in the potential portfolio are determined based on the relative market capitalization. In case of a new listing, parts of existing capital are taken out of the companies and reinvested in the new company. </w:t>
      </w:r>
    </w:p>
    <w:p w:rsidR="00A15325" w:rsidRPr="00785CC7" w:rsidRDefault="00A15325" w:rsidP="00A15325">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Total Return </m:t>
          </m:r>
          <m:d>
            <m:dPr>
              <m:ctrlPr>
                <w:rPr>
                  <w:rFonts w:ascii="Cambria Math" w:hAnsi="Cambria Math" w:cs="Times New Roman"/>
                  <w:i/>
                  <w:sz w:val="24"/>
                  <w:szCs w:val="24"/>
                </w:rPr>
              </m:ctrlPr>
            </m:dPr>
            <m:e>
              <m:r>
                <w:rPr>
                  <w:rFonts w:ascii="Cambria Math" w:hAnsi="Cambria Math" w:cs="Times New Roman"/>
                  <w:sz w:val="24"/>
                  <w:szCs w:val="24"/>
                </w:rPr>
                <m:t>portfolio</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a</m:t>
              </m:r>
            </m:sup>
            <m:e>
              <m:f>
                <m:fPr>
                  <m:ctrlPr>
                    <w:rPr>
                      <w:rFonts w:ascii="Cambria Math" w:hAnsi="Cambria Math" w:cs="Times New Roman"/>
                      <w:i/>
                      <w:sz w:val="24"/>
                      <w:szCs w:val="24"/>
                    </w:rPr>
                  </m:ctrlPr>
                </m:fPr>
                <m:num>
                  <m:r>
                    <w:rPr>
                      <w:rFonts w:ascii="Cambria Math" w:hAnsi="Cambria Math" w:cs="Times New Roman"/>
                      <w:sz w:val="24"/>
                      <w:szCs w:val="24"/>
                    </w:rPr>
                    <m:t>Market value a</m:t>
                  </m:r>
                </m:num>
                <m:den>
                  <m:r>
                    <w:rPr>
                      <w:rFonts w:ascii="Cambria Math" w:hAnsi="Cambria Math" w:cs="Times New Roman"/>
                      <w:sz w:val="24"/>
                      <w:szCs w:val="24"/>
                    </w:rPr>
                    <m:t xml:space="preserve">Total market value </m:t>
                  </m:r>
                  <m:d>
                    <m:dPr>
                      <m:ctrlPr>
                        <w:rPr>
                          <w:rFonts w:ascii="Cambria Math" w:hAnsi="Cambria Math" w:cs="Times New Roman"/>
                          <w:i/>
                          <w:sz w:val="24"/>
                          <w:szCs w:val="24"/>
                        </w:rPr>
                      </m:ctrlPr>
                    </m:dPr>
                    <m:e>
                      <m:r>
                        <w:rPr>
                          <w:rFonts w:ascii="Cambria Math" w:hAnsi="Cambria Math" w:cs="Times New Roman"/>
                          <w:sz w:val="24"/>
                          <w:szCs w:val="24"/>
                        </w:rPr>
                        <m:t>portfolio</m:t>
                      </m:r>
                    </m:e>
                  </m:d>
                </m:den>
              </m:f>
            </m:e>
          </m:nary>
          <m:r>
            <w:rPr>
              <w:rFonts w:ascii="Cambria Math" w:hAnsi="Cambria Math" w:cs="Times New Roman"/>
              <w:sz w:val="24"/>
              <w:szCs w:val="24"/>
            </w:rPr>
            <m:t>Return(a)</m:t>
          </m:r>
        </m:oMath>
      </m:oMathPara>
    </w:p>
    <w:p w:rsidR="00A15325" w:rsidRPr="00A23F87" w:rsidRDefault="00A15325" w:rsidP="00A15325">
      <w:pPr>
        <w:pStyle w:val="Virsraksts4"/>
        <w:rPr>
          <w:rStyle w:val="Grmatasnosaukums"/>
          <w:smallCaps w:val="0"/>
        </w:rPr>
      </w:pPr>
      <w:r w:rsidRPr="00A23F87">
        <w:rPr>
          <w:rStyle w:val="Grmatasnosaukums"/>
        </w:rPr>
        <w:t>An equally weighted portfolio</w:t>
      </w:r>
    </w:p>
    <w:p w:rsidR="00A15325" w:rsidRPr="00726B01" w:rsidRDefault="00A15325" w:rsidP="00A15325">
      <w:pPr>
        <w:spacing w:line="480" w:lineRule="auto"/>
        <w:rPr>
          <w:rFonts w:ascii="Times New Roman" w:hAnsi="Times New Roman" w:cs="Times New Roman"/>
          <w:sz w:val="24"/>
          <w:szCs w:val="24"/>
        </w:rPr>
      </w:pPr>
      <w:r w:rsidRPr="00726B01">
        <w:rPr>
          <w:rFonts w:ascii="Times New Roman" w:hAnsi="Times New Roman" w:cs="Times New Roman"/>
          <w:sz w:val="24"/>
          <w:szCs w:val="24"/>
        </w:rPr>
        <w:t xml:space="preserve">In this case, rather than allocating weights based on market value, an equal amount of available capital is allocated to each particular company. Portfolio is rebalanced on a daily basis and in case of a new </w:t>
      </w:r>
      <w:proofErr w:type="gramStart"/>
      <w:r w:rsidRPr="00726B01">
        <w:rPr>
          <w:rFonts w:ascii="Times New Roman" w:hAnsi="Times New Roman" w:cs="Times New Roman"/>
          <w:sz w:val="24"/>
          <w:szCs w:val="24"/>
        </w:rPr>
        <w:t>listing,</w:t>
      </w:r>
      <w:proofErr w:type="gramEnd"/>
      <w:r w:rsidRPr="00726B01">
        <w:rPr>
          <w:rFonts w:ascii="Times New Roman" w:hAnsi="Times New Roman" w:cs="Times New Roman"/>
          <w:sz w:val="24"/>
          <w:szCs w:val="24"/>
        </w:rPr>
        <w:t xml:space="preserve"> the market value of company is added to the pool of available capital.</w:t>
      </w:r>
    </w:p>
    <w:p w:rsidR="00A15325" w:rsidRPr="00726B01" w:rsidRDefault="00A15325" w:rsidP="00A15325">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Total Return </m:t>
          </m:r>
          <m:d>
            <m:dPr>
              <m:ctrlPr>
                <w:rPr>
                  <w:rFonts w:ascii="Cambria Math" w:hAnsi="Cambria Math" w:cs="Times New Roman"/>
                  <w:i/>
                  <w:sz w:val="24"/>
                  <w:szCs w:val="24"/>
                </w:rPr>
              </m:ctrlPr>
            </m:dPr>
            <m:e>
              <m:r>
                <w:rPr>
                  <w:rFonts w:ascii="Cambria Math" w:hAnsi="Cambria Math" w:cs="Times New Roman"/>
                  <w:sz w:val="24"/>
                  <w:szCs w:val="24"/>
                </w:rPr>
                <m:t>portfolio</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a</m:t>
              </m:r>
            </m:sup>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total number of companies</m:t>
                  </m:r>
                </m:den>
              </m:f>
            </m:e>
          </m:nary>
          <m:r>
            <w:rPr>
              <w:rFonts w:ascii="Cambria Math" w:hAnsi="Cambria Math" w:cs="Times New Roman"/>
              <w:sz w:val="24"/>
              <w:szCs w:val="24"/>
            </w:rPr>
            <m:t>Return(a)</m:t>
          </m:r>
        </m:oMath>
      </m:oMathPara>
    </w:p>
    <w:p w:rsidR="00111782" w:rsidRDefault="00111782" w:rsidP="00111782">
      <w:r>
        <w:br w:type="page"/>
      </w:r>
    </w:p>
    <w:p w:rsidR="00111782" w:rsidRDefault="00111782" w:rsidP="00111782">
      <w:pPr>
        <w:rPr>
          <w:lang w:val="en-US"/>
        </w:rPr>
      </w:pPr>
      <w:r>
        <w:rPr>
          <w:lang w:val="en-US"/>
        </w:rPr>
        <w:lastRenderedPageBreak/>
        <w:t xml:space="preserve">To further explore our data properties, we used Markov two state autoregressive multi-asset </w:t>
      </w:r>
      <w:proofErr w:type="gramStart"/>
      <w:r>
        <w:rPr>
          <w:lang w:val="en-US"/>
        </w:rPr>
        <w:t>model</w:t>
      </w:r>
      <w:proofErr w:type="gramEnd"/>
      <w:r>
        <w:rPr>
          <w:lang w:val="en-US"/>
        </w:rPr>
        <w:t xml:space="preserve">. This model decomposes descriptive statistics about sample data into two possible sub-states each with its own unique statistics. Under the assumption of only two possible sub-states available, the model aims to estimate the probability of change occurring between them during a specific period. </w:t>
      </w:r>
    </w:p>
    <w:p w:rsidR="00111782" w:rsidRDefault="00111782" w:rsidP="00111782">
      <w:pPr>
        <w:pStyle w:val="Virsraksts2"/>
        <w:rPr>
          <w:lang w:val="en-US"/>
        </w:rPr>
      </w:pPr>
      <w:r>
        <w:rPr>
          <w:lang w:val="en-US"/>
        </w:rPr>
        <w:t>Model</w:t>
      </w:r>
    </w:p>
    <w:p w:rsidR="00111782" w:rsidRDefault="00111782" w:rsidP="00111782">
      <w:pPr>
        <w:rPr>
          <w:lang w:val="en-US"/>
        </w:rPr>
      </w:pPr>
      <w:r>
        <w:rPr>
          <w:lang w:val="en-US"/>
        </w:rPr>
        <w:t xml:space="preserve">We are using the same model as P. </w:t>
      </w:r>
      <w:proofErr w:type="spellStart"/>
      <w:r>
        <w:rPr>
          <w:lang w:val="en-US"/>
        </w:rPr>
        <w:t>Aigner</w:t>
      </w:r>
      <w:proofErr w:type="spellEnd"/>
      <w:r>
        <w:rPr>
          <w:lang w:val="en-US"/>
        </w:rPr>
        <w:t xml:space="preserve"> (Modeling and managing portfolios including listed private equity, 2012). Basic bi</w:t>
      </w:r>
      <w:r w:rsidR="004D73D0">
        <w:rPr>
          <w:lang w:val="en-US"/>
        </w:rPr>
        <w:t xml:space="preserve">variate </w:t>
      </w:r>
      <w:proofErr w:type="spellStart"/>
      <w:r w:rsidR="004D73D0">
        <w:rPr>
          <w:lang w:val="en-US"/>
        </w:rPr>
        <w:t>markov</w:t>
      </w:r>
      <w:proofErr w:type="spellEnd"/>
      <w:r w:rsidR="004D73D0">
        <w:rPr>
          <w:lang w:val="en-US"/>
        </w:rPr>
        <w:t>-switching model is described by return that is received</w:t>
      </w:r>
      <w:r>
        <w:rPr>
          <w:lang w:val="en-US"/>
        </w:rPr>
        <w:t xml:space="preserve"> at time t </w:t>
      </w:r>
      <w:r w:rsidR="004D73D0">
        <w:rPr>
          <w:lang w:val="en-US"/>
        </w:rPr>
        <w:t xml:space="preserve">using a </w:t>
      </w:r>
      <w:r>
        <w:rPr>
          <w:lang w:val="en-US"/>
        </w:rPr>
        <w:t>function with a mean value μ that depends on state S at time t and a</w:t>
      </w:r>
      <w:r w:rsidR="004D73D0">
        <w:rPr>
          <w:lang w:val="en-US"/>
        </w:rPr>
        <w:t>n</w:t>
      </w:r>
      <w:r>
        <w:rPr>
          <w:lang w:val="en-US"/>
        </w:rPr>
        <w:t xml:space="preserve"> error term ε at time t</w:t>
      </w:r>
      <w:r w:rsidR="00F64905">
        <w:rPr>
          <w:lang w:val="en-US"/>
        </w:rPr>
        <w:t>. Function is</w:t>
      </w:r>
      <w:r>
        <w:rPr>
          <w:lang w:val="en-US"/>
        </w:rPr>
        <w:t xml:space="preserve"> characterized by standard deviation σ that depends on state S at time t. </w:t>
      </w:r>
      <w:r w:rsidR="004D73D0">
        <w:rPr>
          <w:lang w:val="en-US"/>
        </w:rPr>
        <w:t xml:space="preserve">A </w:t>
      </w:r>
      <w:r>
        <w:rPr>
          <w:lang w:val="en-US"/>
        </w:rPr>
        <w:t>bivariate</w:t>
      </w:r>
      <w:r w:rsidR="004D73D0">
        <w:rPr>
          <w:lang w:val="en-US"/>
        </w:rPr>
        <w:t xml:space="preserve"> indicates that </w:t>
      </w:r>
      <w:r>
        <w:rPr>
          <w:lang w:val="en-US"/>
        </w:rPr>
        <w:t>both</w:t>
      </w:r>
      <w:r w:rsidR="00F64905">
        <w:rPr>
          <w:lang w:val="en-US"/>
        </w:rPr>
        <w:t>,</w:t>
      </w:r>
      <w:r>
        <w:rPr>
          <w:lang w:val="en-US"/>
        </w:rPr>
        <w:t xml:space="preserve"> mean and standard deviation depends on state S </w:t>
      </w:r>
      <w:r w:rsidR="004D73D0">
        <w:rPr>
          <w:lang w:val="en-US"/>
        </w:rPr>
        <w:t>that the model is in at a particular time</w:t>
      </w:r>
      <w:r>
        <w:rPr>
          <w:lang w:val="en-US"/>
        </w:rPr>
        <w:t xml:space="preserve">. </w:t>
      </w:r>
      <w:r w:rsidR="004D73D0">
        <w:rPr>
          <w:lang w:val="en-US"/>
        </w:rPr>
        <w:t>Both of the possible s</w:t>
      </w:r>
      <w:r>
        <w:rPr>
          <w:lang w:val="en-US"/>
        </w:rPr>
        <w:t xml:space="preserve">tates are characterized by probability matrix, where </w:t>
      </w:r>
      <w:proofErr w:type="spellStart"/>
      <w:r>
        <w:rPr>
          <w:lang w:val="en-US"/>
        </w:rPr>
        <w:t>p</w:t>
      </w:r>
      <w:r>
        <w:rPr>
          <w:vertAlign w:val="subscript"/>
          <w:lang w:val="en-US"/>
        </w:rPr>
        <w:t>ij</w:t>
      </w:r>
      <w:proofErr w:type="spellEnd"/>
      <w:r>
        <w:rPr>
          <w:lang w:val="en-US"/>
        </w:rPr>
        <w:t xml:space="preserve"> is a probabilit</w:t>
      </w:r>
      <w:r w:rsidR="004D73D0">
        <w:rPr>
          <w:lang w:val="en-US"/>
        </w:rPr>
        <w:t>y of</w:t>
      </w:r>
      <w:r>
        <w:rPr>
          <w:lang w:val="en-US"/>
        </w:rPr>
        <w:t xml:space="preserve"> being in state S</w:t>
      </w:r>
      <w:r>
        <w:rPr>
          <w:vertAlign w:val="subscript"/>
          <w:lang w:val="en-US"/>
        </w:rPr>
        <w:t>i</w:t>
      </w:r>
    </w:p>
    <w:p w:rsidR="00111782" w:rsidRDefault="00D838A4" w:rsidP="00111782">
      <w:pPr>
        <w:rPr>
          <w:lang w:val="en-US"/>
        </w:rPr>
      </w:pPr>
      <m:oMathPara>
        <m:oMath>
          <m:sSub>
            <m:sSubPr>
              <m:ctrlPr>
                <w:rPr>
                  <w:rFonts w:ascii="Cambria Math" w:hAnsi="Cambria Math"/>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μ</m:t>
              </m:r>
            </m:e>
            <m:sub>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sub>
          </m:sSub>
          <m:r>
            <w:rPr>
              <w:rFonts w:ascii="Cambria Math" w:hAnsi="Cambria Math"/>
              <w:lang w:val="en-US"/>
            </w:rPr>
            <m:t>+</m:t>
          </m:r>
          <m:sSub>
            <m:sSubPr>
              <m:ctrlPr>
                <w:rPr>
                  <w:rFonts w:ascii="Cambria Math" w:hAnsi="Cambria Math"/>
                  <w:i/>
                </w:rPr>
              </m:ctrlPr>
            </m:sSubPr>
            <m:e>
              <m:r>
                <w:rPr>
                  <w:rFonts w:ascii="Cambria Math" w:hAnsi="Cambria Math"/>
                  <w:lang w:val="en-US"/>
                </w:rPr>
                <m:t>σ</m:t>
              </m:r>
            </m:e>
            <m:sub>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sub>
          </m:sSub>
          <m:sSub>
            <m:sSubPr>
              <m:ctrlPr>
                <w:rPr>
                  <w:rFonts w:ascii="Cambria Math" w:hAnsi="Cambria Math"/>
                  <w:i/>
                </w:rPr>
              </m:ctrlPr>
            </m:sSubPr>
            <m:e>
              <m:r>
                <w:rPr>
                  <w:rFonts w:ascii="Cambria Math" w:hAnsi="Cambria Math"/>
                  <w:lang w:val="en-US"/>
                </w:rPr>
                <m:t>ϵ</m:t>
              </m:r>
            </m:e>
            <m:sub>
              <m:r>
                <w:rPr>
                  <w:rFonts w:ascii="Cambria Math" w:hAnsi="Cambria Math"/>
                  <w:lang w:val="en-US"/>
                </w:rPr>
                <m:t>t</m:t>
              </m:r>
            </m:sub>
          </m:sSub>
          <m:r>
            <w:rPr>
              <w:rFonts w:ascii="Cambria Math" w:hAnsi="Cambria Math"/>
              <w:lang w:val="en-US"/>
            </w:rPr>
            <m:t xml:space="preserve">   (1)</m:t>
          </m:r>
        </m:oMath>
      </m:oMathPara>
    </w:p>
    <w:p w:rsidR="00111782" w:rsidRDefault="00111782" w:rsidP="00111782">
      <w:pPr>
        <w:rPr>
          <w:lang w:val="en-US"/>
        </w:rPr>
      </w:pPr>
      <m:oMathPara>
        <m:oMath>
          <m:r>
            <w:rPr>
              <w:rFonts w:ascii="Cambria Math" w:hAnsi="Cambria Math"/>
              <w:lang w:val="en-US"/>
            </w:rPr>
            <m:t>Prob</m:t>
          </m:r>
          <m:d>
            <m:dPr>
              <m:ctrlPr>
                <w:rPr>
                  <w:rFonts w:ascii="Cambria Math" w:hAnsi="Cambria Math"/>
                  <w:i/>
                </w:rPr>
              </m:ctrlPr>
            </m:dPr>
            <m:e>
              <m:sSub>
                <m:sSubPr>
                  <m:ctrlPr>
                    <w:rPr>
                      <w:rFonts w:ascii="Cambria Math" w:hAnsi="Cambria Math"/>
                      <w:i/>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=j</m:t>
              </m:r>
            </m:e>
            <m:e>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=i</m:t>
              </m:r>
            </m:e>
          </m:d>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=1</m:t>
              </m:r>
            </m:e>
          </m:nary>
          <m:r>
            <w:rPr>
              <w:rFonts w:ascii="Cambria Math" w:hAnsi="Cambria Math"/>
              <w:lang w:val="en-US"/>
            </w:rPr>
            <m:t>,  (2)</m:t>
          </m:r>
        </m:oMath>
      </m:oMathPara>
    </w:p>
    <w:p w:rsidR="00111782" w:rsidRDefault="00F64905" w:rsidP="00111782">
      <w:pPr>
        <w:rPr>
          <w:lang w:val="en-US"/>
        </w:rPr>
      </w:pPr>
      <w:r>
        <w:rPr>
          <w:lang w:val="en-US"/>
        </w:rPr>
        <w:t>When introducing</w:t>
      </w:r>
      <w:r w:rsidR="00111782">
        <w:rPr>
          <w:lang w:val="en-US"/>
        </w:rPr>
        <w:t xml:space="preserve"> simple</w:t>
      </w:r>
      <w:r>
        <w:rPr>
          <w:lang w:val="en-US"/>
        </w:rPr>
        <w:t xml:space="preserve"> (not state-</w:t>
      </w:r>
      <w:proofErr w:type="spellStart"/>
      <w:r>
        <w:rPr>
          <w:lang w:val="en-US"/>
        </w:rPr>
        <w:t>dependant</w:t>
      </w:r>
      <w:proofErr w:type="spellEnd"/>
      <w:r>
        <w:rPr>
          <w:lang w:val="en-US"/>
        </w:rPr>
        <w:t>)</w:t>
      </w:r>
      <w:r w:rsidR="00111782">
        <w:rPr>
          <w:lang w:val="en-US"/>
        </w:rPr>
        <w:t xml:space="preserve"> autocorrelation</w:t>
      </w:r>
      <w:r>
        <w:rPr>
          <w:lang w:val="en-US"/>
        </w:rPr>
        <w:t xml:space="preserve"> with lag of one time unit,</w:t>
      </w:r>
      <w:r w:rsidR="00111782">
        <w:rPr>
          <w:lang w:val="en-US"/>
        </w:rPr>
        <w:t xml:space="preserve"> coefficient</w:t>
      </w:r>
      <w:r>
        <w:rPr>
          <w:lang w:val="en-US"/>
        </w:rPr>
        <w:t xml:space="preserve"> </w:t>
      </w:r>
      <w:r w:rsidR="00107C2D">
        <w:rPr>
          <w:lang w:val="en-US"/>
        </w:rPr>
        <w:t>of autocorrelation (</w:t>
      </w:r>
      <w:r w:rsidR="00107C2D" w:rsidRPr="00D838A4">
        <w:rPr>
          <w:b/>
          <w:highlight w:val="yellow"/>
          <w:lang w:val="en-US"/>
        </w:rPr>
        <w:t>ϕ</w:t>
      </w:r>
      <w:r w:rsidR="00107C2D" w:rsidRPr="00D838A4">
        <w:rPr>
          <w:highlight w:val="yellow"/>
          <w:lang w:val="en-US"/>
        </w:rPr>
        <w:t>)</w:t>
      </w:r>
      <w:r w:rsidR="00107C2D">
        <w:rPr>
          <w:lang w:val="en-US"/>
        </w:rPr>
        <w:t xml:space="preserve"> </w:t>
      </w:r>
      <w:r>
        <w:rPr>
          <w:lang w:val="en-US"/>
        </w:rPr>
        <w:t>estimated</w:t>
      </w:r>
      <w:r w:rsidR="00111782">
        <w:rPr>
          <w:lang w:val="en-US"/>
        </w:rPr>
        <w:t xml:space="preserve"> is state independent. Lag </w:t>
      </w:r>
      <w:r>
        <w:rPr>
          <w:lang w:val="en-US"/>
        </w:rPr>
        <w:t>of one time unit here</w:t>
      </w:r>
      <w:r w:rsidR="00111782">
        <w:rPr>
          <w:lang w:val="en-US"/>
        </w:rPr>
        <w:t xml:space="preserve"> means that only the previous period will affect this period’s returns.</w:t>
      </w:r>
      <w:r w:rsidR="00107C2D">
        <w:rPr>
          <w:lang w:val="en-US"/>
        </w:rPr>
        <w:t xml:space="preserve"> </w:t>
      </w:r>
    </w:p>
    <w:p w:rsidR="00111782" w:rsidRDefault="00D838A4" w:rsidP="00111782">
      <w:pPr>
        <w:rPr>
          <w:lang w:val="en-US"/>
        </w:rPr>
      </w:pPr>
      <m:oMathPara>
        <m:oMath>
          <m:sSub>
            <m:sSubPr>
              <m:ctrlPr>
                <w:rPr>
                  <w:rFonts w:ascii="Cambria Math" w:hAnsi="Cambria Math"/>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μ</m:t>
              </m:r>
            </m:e>
            <m:sub>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sub>
          </m:sSub>
          <m:r>
            <w:rPr>
              <w:rFonts w:ascii="Cambria Math" w:hAnsi="Cambria Math"/>
              <w:lang w:val="en-US"/>
            </w:rPr>
            <m:t>+φ(</m:t>
          </m:r>
          <m:sSub>
            <m:sSubPr>
              <m:ctrlPr>
                <w:rPr>
                  <w:rFonts w:ascii="Cambria Math" w:hAnsi="Cambria Math"/>
                  <w:i/>
                </w:rPr>
              </m:ctrlPr>
            </m:sSubPr>
            <m:e>
              <m:r>
                <w:rPr>
                  <w:rFonts w:ascii="Cambria Math" w:hAnsi="Cambria Math"/>
                  <w:lang w:val="en-US"/>
                </w:rPr>
                <m:t>y</m:t>
              </m:r>
            </m:e>
            <m:sub>
              <m:r>
                <w:rPr>
                  <w:rFonts w:ascii="Cambria Math" w:hAnsi="Cambria Math"/>
                  <w:lang w:val="en-US"/>
                </w:rPr>
                <m:t>t-1</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sSub>
                <m:sSubPr>
                  <m:ctrlPr>
                    <w:rPr>
                      <w:rFonts w:ascii="Cambria Math" w:hAnsi="Cambria Math"/>
                      <w:i/>
                    </w:rPr>
                  </m:ctrlPr>
                </m:sSubPr>
                <m:e>
                  <m:r>
                    <w:rPr>
                      <w:rFonts w:ascii="Cambria Math" w:hAnsi="Cambria Math"/>
                      <w:lang w:val="en-US"/>
                    </w:rPr>
                    <m:t>S</m:t>
                  </m:r>
                </m:e>
                <m:sub>
                  <m:r>
                    <w:rPr>
                      <w:rFonts w:ascii="Cambria Math" w:hAnsi="Cambria Math"/>
                      <w:lang w:val="en-US"/>
                    </w:rPr>
                    <m:t>t-1</m:t>
                  </m:r>
                </m:sub>
              </m:sSub>
            </m:sub>
          </m:sSub>
          <m:r>
            <w:rPr>
              <w:rFonts w:ascii="Cambria Math" w:hAnsi="Cambria Math"/>
              <w:lang w:val="en-US"/>
            </w:rPr>
            <m:t>)</m:t>
          </m:r>
          <m:sSub>
            <m:sSubPr>
              <m:ctrlPr>
                <w:rPr>
                  <w:rFonts w:ascii="Cambria Math" w:hAnsi="Cambria Math"/>
                  <w:i/>
                </w:rPr>
              </m:ctrlPr>
            </m:sSubPr>
            <m:e>
              <m:r>
                <w:rPr>
                  <w:rFonts w:ascii="Cambria Math" w:hAnsi="Cambria Math"/>
                  <w:lang w:val="en-US"/>
                </w:rPr>
                <m:t>+σ</m:t>
              </m:r>
            </m:e>
            <m:sub>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sub>
          </m:sSub>
          <m:sSub>
            <m:sSubPr>
              <m:ctrlPr>
                <w:rPr>
                  <w:rFonts w:ascii="Cambria Math" w:hAnsi="Cambria Math"/>
                  <w:i/>
                </w:rPr>
              </m:ctrlPr>
            </m:sSubPr>
            <m:e>
              <m:r>
                <w:rPr>
                  <w:rFonts w:ascii="Cambria Math" w:hAnsi="Cambria Math"/>
                  <w:lang w:val="en-US"/>
                </w:rPr>
                <m:t>ϵ</m:t>
              </m:r>
            </m:e>
            <m:sub>
              <m:r>
                <w:rPr>
                  <w:rFonts w:ascii="Cambria Math" w:hAnsi="Cambria Math"/>
                  <w:lang w:val="en-US"/>
                </w:rPr>
                <m:t>t</m:t>
              </m:r>
            </m:sub>
          </m:sSub>
          <m:r>
            <w:rPr>
              <w:rFonts w:ascii="Cambria Math" w:hAnsi="Cambria Math"/>
              <w:lang w:val="en-US"/>
            </w:rPr>
            <m:t xml:space="preserve">   (3)</m:t>
          </m:r>
        </m:oMath>
      </m:oMathPara>
    </w:p>
    <w:p w:rsidR="00111782" w:rsidRDefault="00F64905" w:rsidP="00111782">
      <w:pPr>
        <w:rPr>
          <w:lang w:val="en-US"/>
        </w:rPr>
      </w:pPr>
      <w:r>
        <w:rPr>
          <w:lang w:val="en-US"/>
        </w:rPr>
        <w:t>By introducing</w:t>
      </w:r>
      <w:r w:rsidR="00111782">
        <w:rPr>
          <w:lang w:val="en-US"/>
        </w:rPr>
        <w:t xml:space="preserve"> multiple assets to our mode</w:t>
      </w:r>
      <w:r w:rsidR="00111782" w:rsidRPr="00D838A4">
        <w:rPr>
          <w:highlight w:val="yellow"/>
          <w:lang w:val="en-US"/>
        </w:rPr>
        <w:t xml:space="preserve">l (4) </w:t>
      </w:r>
      <w:r w:rsidRPr="00D838A4">
        <w:rPr>
          <w:highlight w:val="yellow"/>
          <w:lang w:val="en-US"/>
        </w:rPr>
        <w:t>i</w:t>
      </w:r>
      <w:r>
        <w:rPr>
          <w:lang w:val="en-US"/>
        </w:rPr>
        <w:t xml:space="preserve">n the form </w:t>
      </w:r>
      <w:r w:rsidR="00111782">
        <w:rPr>
          <w:lang w:val="en-US"/>
        </w:rPr>
        <w:t>Listed Private Equity</w:t>
      </w:r>
      <w:r>
        <w:rPr>
          <w:lang w:val="en-US"/>
        </w:rPr>
        <w:t xml:space="preserve"> Index</w:t>
      </w:r>
      <w:r w:rsidR="00111782">
        <w:rPr>
          <w:lang w:val="en-US"/>
        </w:rPr>
        <w:t xml:space="preserve">, Stocks and </w:t>
      </w:r>
      <w:r>
        <w:rPr>
          <w:lang w:val="en-US"/>
        </w:rPr>
        <w:t>Bonds, o</w:t>
      </w:r>
      <w:r w:rsidR="00111782">
        <w:rPr>
          <w:lang w:val="en-US"/>
        </w:rPr>
        <w:t xml:space="preserve">ur model contains 23 unique parameters: </w:t>
      </w:r>
      <w:r w:rsidR="00111782">
        <w:rPr>
          <w:b/>
          <w:lang w:val="en-US"/>
        </w:rPr>
        <w:t>μ</w:t>
      </w:r>
      <w:r w:rsidR="00111782">
        <w:rPr>
          <w:vertAlign w:val="subscript"/>
          <w:lang w:val="en-US"/>
        </w:rPr>
        <w:t>1</w:t>
      </w:r>
      <w:r w:rsidR="00111782">
        <w:rPr>
          <w:lang w:val="en-US"/>
        </w:rPr>
        <w:t xml:space="preserve">, </w:t>
      </w:r>
      <w:r w:rsidR="00111782">
        <w:rPr>
          <w:b/>
          <w:lang w:val="en-US"/>
        </w:rPr>
        <w:t>μ</w:t>
      </w:r>
      <w:r w:rsidR="00111782">
        <w:rPr>
          <w:vertAlign w:val="subscript"/>
          <w:lang w:val="en-US"/>
        </w:rPr>
        <w:t>2</w:t>
      </w:r>
      <w:r w:rsidR="00111782">
        <w:rPr>
          <w:lang w:val="en-US"/>
        </w:rPr>
        <w:t xml:space="preserve">, </w:t>
      </w:r>
      <w:r w:rsidR="00111782">
        <w:rPr>
          <w:b/>
          <w:lang w:val="en-US"/>
        </w:rPr>
        <w:t>σ</w:t>
      </w:r>
      <w:r w:rsidR="00111782">
        <w:rPr>
          <w:vertAlign w:val="subscript"/>
          <w:lang w:val="en-US"/>
        </w:rPr>
        <w:t>1</w:t>
      </w:r>
      <w:r w:rsidR="00111782">
        <w:rPr>
          <w:lang w:val="en-US"/>
        </w:rPr>
        <w:t xml:space="preserve">, </w:t>
      </w:r>
      <w:r w:rsidR="00111782">
        <w:rPr>
          <w:b/>
          <w:lang w:val="en-US"/>
        </w:rPr>
        <w:t>σ</w:t>
      </w:r>
      <w:r w:rsidR="00111782">
        <w:rPr>
          <w:vertAlign w:val="subscript"/>
          <w:lang w:val="en-US"/>
        </w:rPr>
        <w:t>2</w:t>
      </w:r>
      <w:r w:rsidR="00111782">
        <w:rPr>
          <w:lang w:val="en-US"/>
        </w:rPr>
        <w:t xml:space="preserve">, </w:t>
      </w:r>
      <w:r w:rsidR="00111782">
        <w:rPr>
          <w:b/>
          <w:lang w:val="en-US"/>
        </w:rPr>
        <w:t>ϕ</w:t>
      </w:r>
      <w:r w:rsidR="00111782">
        <w:rPr>
          <w:lang w:val="en-US"/>
        </w:rPr>
        <w:t xml:space="preserve"> as 3x1 vectors, p</w:t>
      </w:r>
      <w:r w:rsidR="00111782">
        <w:rPr>
          <w:vertAlign w:val="subscript"/>
          <w:lang w:val="en-US"/>
        </w:rPr>
        <w:t>12</w:t>
      </w:r>
      <w:r w:rsidR="00111782">
        <w:rPr>
          <w:lang w:val="en-US"/>
        </w:rPr>
        <w:t>, p</w:t>
      </w:r>
      <w:r w:rsidR="00111782">
        <w:rPr>
          <w:vertAlign w:val="subscript"/>
          <w:lang w:val="en-US"/>
        </w:rPr>
        <w:t>21</w:t>
      </w:r>
      <w:r w:rsidR="00111782">
        <w:rPr>
          <w:lang w:val="en-US"/>
        </w:rPr>
        <w:t xml:space="preserve"> as scalars and Cor</w:t>
      </w:r>
      <w:r w:rsidR="00111782">
        <w:rPr>
          <w:vertAlign w:val="subscript"/>
          <w:lang w:val="en-US"/>
        </w:rPr>
        <w:t>1</w:t>
      </w:r>
      <w:r w:rsidR="00111782">
        <w:rPr>
          <w:lang w:val="en-US"/>
        </w:rPr>
        <w:t>, Cor</w:t>
      </w:r>
      <w:r w:rsidR="00111782">
        <w:rPr>
          <w:vertAlign w:val="subscript"/>
          <w:lang w:val="en-US"/>
        </w:rPr>
        <w:t>2</w:t>
      </w:r>
      <w:r w:rsidR="00111782">
        <w:rPr>
          <w:lang w:val="en-US"/>
        </w:rPr>
        <w:t>, where Cor</w:t>
      </w:r>
      <w:r w:rsidR="00111782">
        <w:rPr>
          <w:vertAlign w:val="subscript"/>
          <w:lang w:val="en-US"/>
        </w:rPr>
        <w:t>i</w:t>
      </w:r>
      <w:r w:rsidR="00111782">
        <w:rPr>
          <w:lang w:val="en-US"/>
        </w:rPr>
        <w:t xml:space="preserve"> is 3x3 correlation matric.</w:t>
      </w:r>
    </w:p>
    <w:p w:rsidR="00111782" w:rsidRDefault="00D838A4" w:rsidP="00111782">
      <w:pPr>
        <w:rPr>
          <w:lang w:val="en-US"/>
        </w:rPr>
      </w:pPr>
      <m:oMathPara>
        <m:oMath>
          <m:sSub>
            <m:sSubPr>
              <m:ctrlPr>
                <w:rPr>
                  <w:rFonts w:ascii="Cambria Math" w:hAnsi="Cambria Math"/>
                  <w:i/>
                </w:rPr>
              </m:ctrlPr>
            </m:sSubPr>
            <m:e>
              <m:r>
                <m:rPr>
                  <m:sty m:val="bi"/>
                </m:rPr>
                <w:rPr>
                  <w:rFonts w:ascii="Cambria Math" w:hAnsi="Cambria Math"/>
                  <w:lang w:val="en-US"/>
                </w:rPr>
                <m:t>y</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rPr>
              </m:ctrlPr>
            </m:sSubPr>
            <m:e>
              <m:r>
                <m:rPr>
                  <m:sty m:val="bi"/>
                </m:rPr>
                <w:rPr>
                  <w:rFonts w:ascii="Cambria Math" w:hAnsi="Cambria Math"/>
                  <w:lang w:val="en-US"/>
                </w:rPr>
                <m:t>μ</m:t>
              </m:r>
            </m:e>
            <m:sub>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sub>
          </m:sSub>
          <m:r>
            <w:rPr>
              <w:rFonts w:ascii="Cambria Math" w:hAnsi="Cambria Math"/>
              <w:lang w:val="en-US"/>
            </w:rPr>
            <m:t>+</m:t>
          </m:r>
          <m:r>
            <m:rPr>
              <m:sty m:val="bi"/>
            </m:rPr>
            <w:rPr>
              <w:rFonts w:ascii="Cambria Math" w:hAnsi="Cambria Math"/>
              <w:lang w:val="en-US"/>
            </w:rPr>
            <m:t>φ</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y</m:t>
                  </m:r>
                </m:e>
                <m:sub>
                  <m:r>
                    <w:rPr>
                      <w:rFonts w:ascii="Cambria Math" w:hAnsi="Cambria Math"/>
                      <w:lang w:val="en-US"/>
                    </w:rPr>
                    <m:t>t-1</m:t>
                  </m:r>
                </m:sub>
              </m:sSub>
              <m:r>
                <w:rPr>
                  <w:rFonts w:ascii="Cambria Math" w:hAnsi="Cambria Math"/>
                  <w:lang w:val="en-US"/>
                </w:rPr>
                <m:t>-</m:t>
              </m:r>
              <m:sSub>
                <m:sSubPr>
                  <m:ctrlPr>
                    <w:rPr>
                      <w:rFonts w:ascii="Cambria Math" w:hAnsi="Cambria Math"/>
                      <w:i/>
                    </w:rPr>
                  </m:ctrlPr>
                </m:sSubPr>
                <m:e>
                  <m:r>
                    <m:rPr>
                      <m:sty m:val="bi"/>
                    </m:rPr>
                    <w:rPr>
                      <w:rFonts w:ascii="Cambria Math" w:hAnsi="Cambria Math"/>
                      <w:lang w:val="en-US"/>
                    </w:rPr>
                    <m:t>μ</m:t>
                  </m:r>
                </m:e>
                <m:sub>
                  <m:sSub>
                    <m:sSubPr>
                      <m:ctrlPr>
                        <w:rPr>
                          <w:rFonts w:ascii="Cambria Math" w:hAnsi="Cambria Math"/>
                          <w:i/>
                        </w:rPr>
                      </m:ctrlPr>
                    </m:sSubPr>
                    <m:e>
                      <m:r>
                        <w:rPr>
                          <w:rFonts w:ascii="Cambria Math" w:hAnsi="Cambria Math"/>
                          <w:lang w:val="en-US"/>
                        </w:rPr>
                        <m:t>S</m:t>
                      </m:r>
                    </m:e>
                    <m:sub>
                      <m:r>
                        <w:rPr>
                          <w:rFonts w:ascii="Cambria Math" w:hAnsi="Cambria Math"/>
                          <w:lang w:val="en-US"/>
                        </w:rPr>
                        <m:t>t-1</m:t>
                      </m:r>
                    </m:sub>
                  </m:sSub>
                </m:sub>
              </m:sSub>
            </m:e>
          </m:d>
          <m:sSub>
            <m:sSubPr>
              <m:ctrlPr>
                <w:rPr>
                  <w:rFonts w:ascii="Cambria Math" w:hAnsi="Cambria Math"/>
                  <w:i/>
                </w:rPr>
              </m:ctrlPr>
            </m:sSubPr>
            <m:e>
              <m:r>
                <w:rPr>
                  <w:rFonts w:ascii="Cambria Math" w:hAnsi="Cambria Math"/>
                  <w:lang w:val="en-US"/>
                </w:rPr>
                <m:t>+</m:t>
              </m:r>
              <m:r>
                <m:rPr>
                  <m:sty m:val="bi"/>
                </m:rPr>
                <w:rPr>
                  <w:rFonts w:ascii="Cambria Math" w:hAnsi="Cambria Math"/>
                  <w:lang w:val="en-US"/>
                </w:rPr>
                <m:t>σ</m:t>
              </m:r>
            </m:e>
            <m:sub>
              <m:sSub>
                <m:sSubPr>
                  <m:ctrlPr>
                    <w:rPr>
                      <w:rFonts w:ascii="Cambria Math" w:hAnsi="Cambria Math"/>
                      <w:i/>
                    </w:rPr>
                  </m:ctrlPr>
                </m:sSubPr>
                <m:e>
                  <m:r>
                    <w:rPr>
                      <w:rFonts w:ascii="Cambria Math" w:hAnsi="Cambria Math"/>
                      <w:lang w:val="en-US"/>
                    </w:rPr>
                    <m:t>S</m:t>
                  </m:r>
                </m:e>
                <m:sub>
                  <m:r>
                    <w:rPr>
                      <w:rFonts w:ascii="Cambria Math" w:hAnsi="Cambria Math"/>
                      <w:lang w:val="en-US"/>
                    </w:rPr>
                    <m:t>t</m:t>
                  </m:r>
                </m:sub>
              </m:sSub>
            </m:sub>
          </m:sSub>
          <m:sSub>
            <m:sSubPr>
              <m:ctrlPr>
                <w:rPr>
                  <w:rFonts w:ascii="Cambria Math" w:hAnsi="Cambria Math"/>
                  <w:i/>
                </w:rPr>
              </m:ctrlPr>
            </m:sSubPr>
            <m:e>
              <m:r>
                <m:rPr>
                  <m:sty m:val="bi"/>
                </m:rPr>
                <w:rPr>
                  <w:rFonts w:ascii="Cambria Math" w:hAnsi="Cambria Math"/>
                  <w:lang w:val="en-US"/>
                </w:rPr>
                <m:t>ϵ</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rPr>
              </m:ctrlPr>
            </m:sSubPr>
            <m:e>
              <m:r>
                <m:rPr>
                  <m:sty m:val="bi"/>
                </m:rPr>
                <w:rPr>
                  <w:rFonts w:ascii="Cambria Math" w:hAnsi="Cambria Math"/>
                  <w:lang w:val="en-US"/>
                </w:rPr>
                <m:t>y</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LPE</m:t>
                        </m:r>
                      </m:sup>
                    </m:sSubSup>
                  </m:e>
                </m:mr>
                <m:mr>
                  <m:e>
                    <m:sSubSup>
                      <m:sSubSupPr>
                        <m:ctrlPr>
                          <w:rPr>
                            <w:rFonts w:ascii="Cambria Math" w:hAnsi="Cambria Math"/>
                            <w:i/>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Stocks</m:t>
                        </m:r>
                      </m:sup>
                    </m:sSubSup>
                  </m:e>
                </m:mr>
                <m:mr>
                  <m:e>
                    <m:sSubSup>
                      <m:sSubSupPr>
                        <m:ctrlPr>
                          <w:rPr>
                            <w:rFonts w:ascii="Cambria Math" w:hAnsi="Cambria Math"/>
                            <w:i/>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Bonds</m:t>
                        </m:r>
                      </m:sup>
                    </m:sSubSup>
                  </m:e>
                </m:mr>
              </m:m>
            </m:e>
          </m:d>
          <m:r>
            <w:rPr>
              <w:rFonts w:ascii="Cambria Math" w:hAnsi="Cambria Math"/>
              <w:lang w:val="en-US"/>
            </w:rPr>
            <m:t>,…,  (4)</m:t>
          </m:r>
        </m:oMath>
      </m:oMathPara>
    </w:p>
    <w:p w:rsidR="004B3791" w:rsidRDefault="00111782" w:rsidP="00111782">
      <w:pPr>
        <w:rPr>
          <w:lang w:val="en-US"/>
        </w:rPr>
      </w:pPr>
      <w:r>
        <w:rPr>
          <w:lang w:val="en-US"/>
        </w:rPr>
        <w:t>Conditional mean and standard deviation is a mean and vari</w:t>
      </w:r>
      <w:r w:rsidR="006D3D52">
        <w:rPr>
          <w:lang w:val="en-US"/>
        </w:rPr>
        <w:t>ance that is specific to one of the two sub-states</w:t>
      </w:r>
      <w:r>
        <w:rPr>
          <w:lang w:val="en-US"/>
        </w:rPr>
        <w:t xml:space="preserve">. Unconditional mean and </w:t>
      </w:r>
      <w:r w:rsidR="006D3D52">
        <w:rPr>
          <w:lang w:val="en-US"/>
        </w:rPr>
        <w:t>standard deviation are used to characterize returns under the assumption that only one possible state exists</w:t>
      </w:r>
      <w:r>
        <w:rPr>
          <w:lang w:val="en-US"/>
        </w:rPr>
        <w:t>. Therefore descriptive statistics</w:t>
      </w:r>
      <w:r w:rsidR="006D3D52">
        <w:rPr>
          <w:lang w:val="en-US"/>
        </w:rPr>
        <w:t xml:space="preserve"> such</w:t>
      </w:r>
      <w:r>
        <w:rPr>
          <w:lang w:val="en-US"/>
        </w:rPr>
        <w:t xml:space="preserve"> as population mean, standard deviation, </w:t>
      </w:r>
      <w:proofErr w:type="spellStart"/>
      <w:r>
        <w:rPr>
          <w:lang w:val="en-US"/>
        </w:rPr>
        <w:t>skewness</w:t>
      </w:r>
      <w:proofErr w:type="spellEnd"/>
      <w:r>
        <w:rPr>
          <w:lang w:val="en-US"/>
        </w:rPr>
        <w:t xml:space="preserve"> and kurtosis</w:t>
      </w:r>
      <w:r w:rsidR="006D3D52">
        <w:rPr>
          <w:lang w:val="en-US"/>
        </w:rPr>
        <w:t xml:space="preserve"> or return distribution</w:t>
      </w:r>
      <w:r>
        <w:rPr>
          <w:lang w:val="en-US"/>
        </w:rPr>
        <w:t xml:space="preserve"> are equal </w:t>
      </w:r>
      <w:r w:rsidR="006D3D52">
        <w:rPr>
          <w:lang w:val="en-US"/>
        </w:rPr>
        <w:t>to unconditional statistics estimated by M</w:t>
      </w:r>
      <w:r>
        <w:rPr>
          <w:lang w:val="en-US"/>
        </w:rPr>
        <w:t xml:space="preserve">arkov model. </w:t>
      </w:r>
      <w:proofErr w:type="spellStart"/>
      <w:r>
        <w:rPr>
          <w:lang w:val="en-US"/>
        </w:rPr>
        <w:t>Timmermann</w:t>
      </w:r>
      <w:proofErr w:type="spellEnd"/>
      <w:r>
        <w:rPr>
          <w:lang w:val="en-US"/>
        </w:rPr>
        <w:t xml:space="preserve"> (Moments of Markov model, 2000) </w:t>
      </w:r>
      <w:r w:rsidR="006D3D52">
        <w:rPr>
          <w:lang w:val="en-US"/>
        </w:rPr>
        <w:t>show how these characteristics can be</w:t>
      </w:r>
      <w:r>
        <w:rPr>
          <w:lang w:val="en-US"/>
        </w:rPr>
        <w:t xml:space="preserve"> calculate</w:t>
      </w:r>
      <w:r w:rsidR="006D3D52">
        <w:rPr>
          <w:lang w:val="en-US"/>
        </w:rPr>
        <w:t>d</w:t>
      </w:r>
      <w:r>
        <w:rPr>
          <w:lang w:val="en-US"/>
        </w:rPr>
        <w:t xml:space="preserve"> by moments. </w:t>
      </w:r>
    </w:p>
    <w:p w:rsidR="00111782" w:rsidRDefault="00111782" w:rsidP="00111782">
      <w:pPr>
        <w:rPr>
          <w:lang w:val="en-US"/>
        </w:rPr>
      </w:pPr>
      <w:r>
        <w:rPr>
          <w:lang w:val="en-US"/>
        </w:rPr>
        <w:t>First one has to calculate unconditional</w:t>
      </w:r>
      <w:r w:rsidR="006D3D52">
        <w:rPr>
          <w:lang w:val="en-US"/>
        </w:rPr>
        <w:t xml:space="preserve"> (ergodic)</w:t>
      </w:r>
      <w:r>
        <w:rPr>
          <w:lang w:val="en-US"/>
        </w:rPr>
        <w:t xml:space="preserve"> probabilities </w:t>
      </w:r>
      <w:r>
        <w:rPr>
          <w:b/>
          <w:lang w:val="en-US"/>
        </w:rPr>
        <w:t>π</w:t>
      </w:r>
      <w:proofErr w:type="spellStart"/>
      <w:r>
        <w:rPr>
          <w:vertAlign w:val="subscript"/>
          <w:lang w:val="en-US"/>
        </w:rPr>
        <w:t>i</w:t>
      </w:r>
      <w:proofErr w:type="spellEnd"/>
      <w:r w:rsidR="006D3D52">
        <w:rPr>
          <w:lang w:val="en-US"/>
        </w:rPr>
        <w:t xml:space="preserve"> to be in one of the two sub-states (</w:t>
      </w:r>
      <w:r>
        <w:rPr>
          <w:lang w:val="en-US"/>
        </w:rPr>
        <w:t>S</w:t>
      </w:r>
      <w:r>
        <w:rPr>
          <w:vertAlign w:val="subscript"/>
          <w:lang w:val="en-US"/>
        </w:rPr>
        <w:t>i</w:t>
      </w:r>
      <w:r>
        <w:rPr>
          <w:lang w:val="en-US"/>
        </w:rPr>
        <w:t xml:space="preserve"> state</w:t>
      </w:r>
      <w:r w:rsidR="006D3D52">
        <w:rPr>
          <w:lang w:val="en-US"/>
        </w:rPr>
        <w:t>)</w:t>
      </w:r>
      <w:r>
        <w:rPr>
          <w:lang w:val="en-US"/>
        </w:rPr>
        <w:t xml:space="preserve">. </w:t>
      </w:r>
    </w:p>
    <w:p w:rsidR="00111782" w:rsidRDefault="00D838A4" w:rsidP="00111782">
      <w:pPr>
        <w:rPr>
          <w:lang w:val="en-US"/>
        </w:rPr>
      </w:pPr>
      <m:oMathPara>
        <m:oMath>
          <m:sSub>
            <m:sSubPr>
              <m:ctrlPr>
                <w:rPr>
                  <w:rFonts w:ascii="Cambria Math" w:hAnsi="Cambria Math"/>
                  <w:i/>
                </w:rPr>
              </m:ctrlPr>
            </m:sSubPr>
            <m:e>
              <m:r>
                <w:rPr>
                  <w:rFonts w:ascii="Cambria Math" w:hAnsi="Cambria Math"/>
                  <w:lang w:val="en-US"/>
                </w:rPr>
                <m:t>π</m:t>
              </m:r>
            </m:e>
            <m:sub>
              <m:r>
                <w:rPr>
                  <w:rFonts w:ascii="Cambria Math" w:hAnsi="Cambria Math"/>
                  <w:lang w:val="en-US"/>
                </w:rPr>
                <m:t>1</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p</m:t>
                  </m:r>
                </m:e>
                <m:sub>
                  <m:r>
                    <w:rPr>
                      <w:rFonts w:ascii="Cambria Math" w:hAnsi="Cambria Math"/>
                      <w:lang w:val="en-US"/>
                    </w:rPr>
                    <m:t>21</m:t>
                  </m:r>
                </m:sub>
              </m:sSub>
            </m:num>
            <m:den>
              <m:sSub>
                <m:sSubPr>
                  <m:ctrlPr>
                    <w:rPr>
                      <w:rFonts w:ascii="Cambria Math" w:hAnsi="Cambria Math"/>
                      <w:i/>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lang w:val="en-US"/>
                    </w:rPr>
                    <m:t>21</m:t>
                  </m:r>
                </m:sub>
              </m:sSub>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π</m:t>
              </m:r>
            </m:e>
            <m:sub>
              <m:r>
                <w:rPr>
                  <w:rFonts w:ascii="Cambria Math" w:hAnsi="Cambria Math"/>
                  <w:lang w:val="en-US"/>
                </w:rPr>
                <m:t>2</m:t>
              </m:r>
            </m:sub>
          </m:sSub>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p</m:t>
                  </m:r>
                </m:e>
                <m:sub>
                  <m:r>
                    <w:rPr>
                      <w:rFonts w:ascii="Cambria Math" w:hAnsi="Cambria Math"/>
                      <w:lang w:val="en-US"/>
                    </w:rPr>
                    <m:t>12</m:t>
                  </m:r>
                </m:sub>
              </m:sSub>
            </m:num>
            <m:den>
              <m:sSub>
                <m:sSubPr>
                  <m:ctrlPr>
                    <w:rPr>
                      <w:rFonts w:ascii="Cambria Math" w:hAnsi="Cambria Math"/>
                      <w:i/>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lang w:val="en-US"/>
                    </w:rPr>
                    <m:t>21</m:t>
                  </m:r>
                </m:sub>
              </m:sSub>
            </m:den>
          </m:f>
          <m:r>
            <w:rPr>
              <w:rFonts w:ascii="Cambria Math" w:hAnsi="Cambria Math"/>
              <w:lang w:val="en-US"/>
            </w:rPr>
            <m:t>,  (5)</m:t>
          </m:r>
        </m:oMath>
      </m:oMathPara>
    </w:p>
    <w:p w:rsidR="00111782" w:rsidRDefault="00111782" w:rsidP="00111782">
      <w:pPr>
        <w:rPr>
          <w:lang w:val="en-US"/>
        </w:rPr>
      </w:pPr>
      <w:r>
        <w:rPr>
          <w:lang w:val="en-US"/>
        </w:rPr>
        <w:t xml:space="preserve">Unconditional mean is calculated by multiplying unconditional probability vector with conditional mean vector for any single asset </w:t>
      </w:r>
      <w:r>
        <w:rPr>
          <w:i/>
          <w:lang w:val="en-US"/>
        </w:rPr>
        <w:t>i</w:t>
      </w:r>
      <w:r>
        <w:rPr>
          <w:lang w:val="en-US"/>
        </w:rPr>
        <w:t>,</w:t>
      </w:r>
    </w:p>
    <w:p w:rsidR="00111782" w:rsidRDefault="00D838A4" w:rsidP="00111782">
      <w:pPr>
        <w:rPr>
          <w:lang w:val="en-US"/>
        </w:rPr>
      </w:pPr>
      <m:oMathPara>
        <m:oMath>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  (6)</m:t>
          </m:r>
        </m:oMath>
      </m:oMathPara>
    </w:p>
    <w:p w:rsidR="00111782" w:rsidRDefault="00111782" w:rsidP="00111782">
      <w:pPr>
        <w:rPr>
          <w:lang w:val="en-US"/>
        </w:rPr>
      </w:pPr>
      <w:r>
        <w:rPr>
          <w:lang w:val="en-US"/>
        </w:rPr>
        <w:t xml:space="preserve">Second moment is used to calculated variance-covariance matrix. For two assets </w:t>
      </w:r>
      <w:r>
        <w:rPr>
          <w:i/>
          <w:lang w:val="en-US"/>
        </w:rPr>
        <w:t>i</w:t>
      </w:r>
      <w:r>
        <w:rPr>
          <w:lang w:val="en-US"/>
        </w:rPr>
        <w:t xml:space="preserve"> and </w:t>
      </w:r>
      <w:r>
        <w:rPr>
          <w:i/>
          <w:lang w:val="en-US"/>
        </w:rPr>
        <w:t>j</w:t>
      </w:r>
      <w:r w:rsidR="004B3791">
        <w:rPr>
          <w:lang w:val="en-US"/>
        </w:rPr>
        <w:t>, variance and covariance are</w:t>
      </w:r>
      <w:r>
        <w:rPr>
          <w:lang w:val="en-US"/>
        </w:rPr>
        <w:t xml:space="preserve"> calculated using conditional mean vector </w:t>
      </w:r>
      <m:oMath>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oMath>
      <w:r>
        <w:rPr>
          <w:lang w:val="en-US"/>
        </w:rPr>
        <w:t xml:space="preserve">, unconditional mean </w:t>
      </w:r>
      <m:oMath>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oMath>
      <w:r>
        <w:rPr>
          <w:lang w:val="en-US"/>
        </w:rPr>
        <w:t xml:space="preserve">, identity vector </w:t>
      </w:r>
      <m:oMath>
        <m:r>
          <m:rPr>
            <m:sty m:val="bi"/>
          </m:rPr>
          <w:rPr>
            <w:rFonts w:ascii="Cambria Math" w:hAnsi="Cambria Math"/>
            <w:lang w:val="en-US"/>
          </w:rPr>
          <m:t>ι</m:t>
        </m:r>
      </m:oMath>
      <w:r>
        <w:rPr>
          <w:lang w:val="en-US"/>
        </w:rPr>
        <w:t xml:space="preserve"> filled with 1’s, conditional standard deviation vector </w:t>
      </w:r>
      <m:oMath>
        <m:sSub>
          <m:sSubPr>
            <m:ctrlPr>
              <w:rPr>
                <w:rFonts w:ascii="Cambria Math" w:hAnsi="Cambria Math"/>
                <w:i/>
              </w:rPr>
            </m:ctrlPr>
          </m:sSubPr>
          <m:e>
            <m:r>
              <m:rPr>
                <m:sty m:val="bi"/>
              </m:rPr>
              <w:rPr>
                <w:rFonts w:ascii="Cambria Math" w:hAnsi="Cambria Math"/>
                <w:lang w:val="en-US"/>
              </w:rPr>
              <m:t>σ</m:t>
            </m:r>
          </m:e>
          <m:sub>
            <m:r>
              <w:rPr>
                <w:rFonts w:ascii="Cambria Math" w:hAnsi="Cambria Math"/>
                <w:lang w:val="en-US"/>
              </w:rPr>
              <m:t>i</m:t>
            </m:r>
          </m:sub>
        </m:sSub>
      </m:oMath>
      <w:r>
        <w:rPr>
          <w:lang w:val="en-US"/>
        </w:rPr>
        <w:t xml:space="preserve">, conditional correlation vector </w:t>
      </w:r>
      <m:oMath>
        <m:sSub>
          <m:sSubPr>
            <m:ctrlPr>
              <w:rPr>
                <w:rFonts w:ascii="Cambria Math" w:hAnsi="Cambria Math"/>
                <w:i/>
              </w:rPr>
            </m:ctrlPr>
          </m:sSubPr>
          <m:e>
            <m:r>
              <m:rPr>
                <m:sty m:val="bi"/>
              </m:rPr>
              <w:rPr>
                <w:rFonts w:ascii="Cambria Math" w:hAnsi="Cambria Math"/>
                <w:lang w:val="en-US"/>
              </w:rPr>
              <m:t>ρ</m:t>
            </m:r>
          </m:e>
          <m:sub>
            <m:r>
              <w:rPr>
                <w:rFonts w:ascii="Cambria Math" w:hAnsi="Cambria Math"/>
                <w:lang w:val="en-US"/>
              </w:rPr>
              <m:t>ij</m:t>
            </m:r>
          </m:sub>
        </m:sSub>
      </m:oMath>
      <w:r>
        <w:rPr>
          <w:lang w:val="en-US"/>
        </w:rPr>
        <w:t xml:space="preserve"> and simple autocorrelation coefficient </w:t>
      </w:r>
      <m:oMath>
        <m:sSub>
          <m:sSubPr>
            <m:ctrlPr>
              <w:rPr>
                <w:rFonts w:ascii="Cambria Math" w:hAnsi="Cambria Math"/>
                <w:i/>
              </w:rPr>
            </m:ctrlPr>
          </m:sSubPr>
          <m:e>
            <m:r>
              <w:rPr>
                <w:rFonts w:ascii="Cambria Math" w:hAnsi="Cambria Math"/>
                <w:lang w:val="en-US"/>
              </w:rPr>
              <m:t>φ</m:t>
            </m:r>
          </m:e>
          <m:sub>
            <m:r>
              <w:rPr>
                <w:rFonts w:ascii="Cambria Math" w:hAnsi="Cambria Math"/>
                <w:lang w:val="en-US"/>
              </w:rPr>
              <m:t>i</m:t>
            </m:r>
          </m:sub>
        </m:sSub>
      </m:oMath>
      <w:r>
        <w:rPr>
          <w:lang w:val="en-US"/>
        </w:rPr>
        <w:t xml:space="preserve">. </w:t>
      </w:r>
    </w:p>
    <w:p w:rsidR="00111782" w:rsidRDefault="00D838A4" w:rsidP="00111782">
      <w:pPr>
        <w:rPr>
          <w:lang w:val="en-US"/>
        </w:rPr>
      </w:pPr>
      <m:oMathPara>
        <m:oMath>
          <m:sSub>
            <m:sSubPr>
              <m:ctrlPr>
                <w:rPr>
                  <w:rFonts w:ascii="Cambria Math" w:hAnsi="Cambria Math"/>
                  <w:i/>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2</m:t>
                  </m:r>
                </m:sup>
              </m:sSup>
            </m:e>
          </m:d>
          <m:r>
            <w:rPr>
              <w:rFonts w:ascii="Cambria Math" w:hAnsi="Cambria Math"/>
              <w:lang w:val="en-US"/>
            </w:rPr>
            <m:t>=</m:t>
          </m:r>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j</m:t>
                      </m:r>
                    </m:sub>
                  </m:sSub>
                  <m:r>
                    <m:rPr>
                      <m:sty m:val="bi"/>
                    </m:rPr>
                    <w:rPr>
                      <w:rFonts w:ascii="Cambria Math" w:hAnsi="Cambria Math"/>
                      <w:lang w:val="en-US"/>
                    </w:rPr>
                    <m:t>ι</m:t>
                  </m:r>
                </m:e>
              </m:d>
              <m:r>
                <w:rPr>
                  <w:rFonts w:ascii="Cambria Math" w:hAnsi="Cambria Math"/>
                  <w:lang w:val="en-US"/>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lang w:val="en-US"/>
                        </w:rPr>
                        <m:t>σ</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m:rPr>
                          <m:sty m:val="bi"/>
                        </m:rPr>
                        <w:rPr>
                          <w:rFonts w:ascii="Cambria Math" w:hAnsi="Cambria Math"/>
                          <w:lang w:val="en-US"/>
                        </w:rPr>
                        <m:t>σ</m:t>
                      </m:r>
                    </m:e>
                    <m:sub>
                      <m:r>
                        <w:rPr>
                          <w:rFonts w:ascii="Cambria Math" w:hAnsi="Cambria Math"/>
                          <w:lang w:val="en-US"/>
                        </w:rPr>
                        <m:t>j</m:t>
                      </m:r>
                    </m:sub>
                  </m:sSub>
                  <m:r>
                    <w:rPr>
                      <w:rFonts w:ascii="Cambria Math" w:hAnsi="Cambria Math"/>
                      <w:lang w:val="en-US"/>
                    </w:rPr>
                    <m:t>×</m:t>
                  </m:r>
                  <m:sSub>
                    <m:sSubPr>
                      <m:ctrlPr>
                        <w:rPr>
                          <w:rFonts w:ascii="Cambria Math" w:hAnsi="Cambria Math"/>
                          <w:i/>
                        </w:rPr>
                      </m:ctrlPr>
                    </m:sSubPr>
                    <m:e>
                      <m:r>
                        <m:rPr>
                          <m:sty m:val="bi"/>
                        </m:rPr>
                        <w:rPr>
                          <w:rFonts w:ascii="Cambria Math" w:hAnsi="Cambria Math"/>
                          <w:lang w:val="en-US"/>
                        </w:rPr>
                        <m:t>ρ</m:t>
                      </m:r>
                    </m:e>
                    <m:sub>
                      <m:r>
                        <w:rPr>
                          <w:rFonts w:ascii="Cambria Math" w:hAnsi="Cambria Math"/>
                          <w:lang w:val="en-US"/>
                        </w:rPr>
                        <m:t>ij</m:t>
                      </m:r>
                    </m:sub>
                  </m:sSub>
                </m:num>
                <m:den>
                  <m:r>
                    <w:rPr>
                      <w:rFonts w:ascii="Cambria Math" w:hAnsi="Cambria Math"/>
                      <w:lang w:val="en-US"/>
                    </w:rPr>
                    <m:t>1-</m:t>
                  </m:r>
                  <m:sSub>
                    <m:sSubPr>
                      <m:ctrlPr>
                        <w:rPr>
                          <w:rFonts w:ascii="Cambria Math" w:hAnsi="Cambria Math"/>
                          <w:i/>
                        </w:rPr>
                      </m:ctrlPr>
                    </m:sSubPr>
                    <m:e>
                      <m:r>
                        <w:rPr>
                          <w:rFonts w:ascii="Cambria Math" w:hAnsi="Cambria Math"/>
                          <w:lang w:val="en-US"/>
                        </w:rPr>
                        <m:t>φ</m:t>
                      </m:r>
                    </m:e>
                    <m:sub>
                      <m:r>
                        <w:rPr>
                          <w:rFonts w:ascii="Cambria Math" w:hAnsi="Cambria Math"/>
                          <w:lang w:val="en-US"/>
                        </w:rPr>
                        <m:t>i</m:t>
                      </m:r>
                    </m:sub>
                  </m:sSub>
                  <m:sSub>
                    <m:sSubPr>
                      <m:ctrlPr>
                        <w:rPr>
                          <w:rFonts w:ascii="Cambria Math" w:hAnsi="Cambria Math"/>
                          <w:i/>
                        </w:rPr>
                      </m:ctrlPr>
                    </m:sSubPr>
                    <m:e>
                      <m:r>
                        <w:rPr>
                          <w:rFonts w:ascii="Cambria Math" w:hAnsi="Cambria Math"/>
                          <w:lang w:val="en-US"/>
                        </w:rPr>
                        <m:t>φ</m:t>
                      </m:r>
                    </m:e>
                    <m:sub>
                      <m:r>
                        <w:rPr>
                          <w:rFonts w:ascii="Cambria Math" w:hAnsi="Cambria Math"/>
                          <w:lang w:val="en-US"/>
                        </w:rPr>
                        <m:t>j</m:t>
                      </m:r>
                    </m:sub>
                  </m:sSub>
                </m:den>
              </m:f>
            </m:e>
          </m:d>
          <m:r>
            <w:rPr>
              <w:rFonts w:ascii="Cambria Math" w:hAnsi="Cambria Math"/>
              <w:lang w:val="en-US"/>
            </w:rPr>
            <m:t>,  (7)</m:t>
          </m:r>
        </m:oMath>
      </m:oMathPara>
    </w:p>
    <w:p w:rsidR="00111782" w:rsidRDefault="00111782" w:rsidP="00111782">
      <w:pPr>
        <w:rPr>
          <w:lang w:val="en-US"/>
        </w:rPr>
      </w:pPr>
      <w:r>
        <w:rPr>
          <w:lang w:val="en-US"/>
        </w:rPr>
        <w:t xml:space="preserve">Third moment is used to calculate unconditional </w:t>
      </w:r>
      <w:proofErr w:type="spellStart"/>
      <w:r>
        <w:rPr>
          <w:lang w:val="en-US"/>
        </w:rPr>
        <w:t>skewness</w:t>
      </w:r>
      <w:proofErr w:type="spellEnd"/>
      <w:r>
        <w:rPr>
          <w:lang w:val="en-US"/>
        </w:rPr>
        <w:t xml:space="preserve"> for any asset </w:t>
      </w:r>
      <w:r>
        <w:rPr>
          <w:i/>
          <w:lang w:val="en-US"/>
        </w:rPr>
        <w:t>i</w:t>
      </w:r>
      <w:r>
        <w:rPr>
          <w:lang w:val="en-US"/>
        </w:rPr>
        <w:t xml:space="preserve">. </w:t>
      </w:r>
    </w:p>
    <w:p w:rsidR="00111782" w:rsidRDefault="00D838A4" w:rsidP="00111782">
      <w:pPr>
        <w:rPr>
          <w:lang w:val="en-US"/>
        </w:rPr>
      </w:pPr>
      <m:oMathPara>
        <m:oMath>
          <m:sSub>
            <m:sSubPr>
              <m:ctrlPr>
                <w:rPr>
                  <w:rFonts w:ascii="Cambria Math" w:hAnsi="Cambria Math"/>
                  <w:i/>
                </w:rPr>
              </m:ctrlPr>
            </m:sSubPr>
            <m:e>
              <m:r>
                <w:rPr>
                  <w:rFonts w:ascii="Cambria Math" w:hAnsi="Cambria Math"/>
                  <w:lang w:val="en-US"/>
                </w:rPr>
                <m:t>Skew</m:t>
              </m:r>
            </m:e>
            <m:sub>
              <m:r>
                <w:rPr>
                  <w:rFonts w:ascii="Cambria Math" w:hAnsi="Cambria Math"/>
                  <w:lang w:val="en-US"/>
                </w:rPr>
                <m:t>i</m:t>
              </m:r>
            </m:sub>
          </m:sSub>
          <m:r>
            <w:rPr>
              <w:rFonts w:ascii="Cambria Math" w:hAnsi="Cambria Math"/>
              <w:lang w:val="en-US"/>
            </w:rPr>
            <m:t>=</m:t>
          </m:r>
          <m:f>
            <m:fPr>
              <m:ctrlPr>
                <w:rPr>
                  <w:rFonts w:ascii="Cambria Math" w:hAnsi="Cambria Math"/>
                  <w:i/>
                </w:rPr>
              </m:ctrlPr>
            </m:fPr>
            <m:num>
              <m:r>
                <w:rPr>
                  <w:rFonts w:ascii="Cambria Math" w:hAnsi="Cambria Math"/>
                  <w:lang w:val="en-US"/>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3</m:t>
                      </m:r>
                    </m:sup>
                  </m:sSup>
                </m:e>
              </m:d>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e>
                <m:sup>
                  <m:f>
                    <m:fPr>
                      <m:ctrlPr>
                        <w:rPr>
                          <w:rFonts w:ascii="Cambria Math" w:hAnsi="Cambria Math"/>
                          <w:i/>
                        </w:rPr>
                      </m:ctrlPr>
                    </m:fPr>
                    <m:num>
                      <m:r>
                        <w:rPr>
                          <w:rFonts w:ascii="Cambria Math" w:hAnsi="Cambria Math"/>
                          <w:lang w:val="en-US"/>
                        </w:rPr>
                        <m:t>3</m:t>
                      </m:r>
                    </m:num>
                    <m:den>
                      <m:r>
                        <w:rPr>
                          <w:rFonts w:ascii="Cambria Math" w:hAnsi="Cambria Math"/>
                          <w:lang w:val="en-US"/>
                        </w:rPr>
                        <m:t>2</m:t>
                      </m:r>
                    </m:den>
                  </m:f>
                </m:sup>
              </m:sSup>
            </m:den>
          </m:f>
          <m:r>
            <w:rPr>
              <w:rFonts w:ascii="Cambria Math" w:hAnsi="Cambria Math"/>
              <w:lang w:val="en-US"/>
            </w:rPr>
            <m:t xml:space="preserve">,  </m:t>
          </m:r>
          <m:r>
            <m:rPr>
              <m:sty m:val="p"/>
            </m:rPr>
            <w:rPr>
              <w:rFonts w:ascii="Cambria Math" w:hAnsi="Cambria Math"/>
              <w:lang w:val="en-US"/>
            </w:rPr>
            <m:t>(8)</m:t>
          </m:r>
        </m:oMath>
      </m:oMathPara>
    </w:p>
    <w:p w:rsidR="00111782" w:rsidRDefault="00111782" w:rsidP="00111782">
      <w:pPr>
        <w:rPr>
          <w:lang w:val="en-US"/>
        </w:rPr>
      </w:pPr>
      <m:oMathPara>
        <m:oMath>
          <m:r>
            <w:rPr>
              <w:rFonts w:ascii="Cambria Math" w:hAnsi="Cambria Math"/>
              <w:lang w:val="en-US"/>
            </w:rPr>
            <m:t xml:space="preserve">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3</m:t>
                  </m:r>
                </m:sup>
              </m:sSup>
            </m:e>
          </m:d>
          <m:r>
            <w:rPr>
              <w:rFonts w:ascii="Cambria Math" w:hAnsi="Cambria Math"/>
              <w:lang w:val="en-US"/>
            </w:rPr>
            <m:t>=</m:t>
          </m:r>
          <m:m>
            <m:mPr>
              <m:mcs>
                <m:mc>
                  <m:mcPr>
                    <m:count m:val="1"/>
                    <m:mcJc m:val="center"/>
                  </m:mcPr>
                </m:mc>
              </m:mcs>
              <m:ctrlPr>
                <w:rPr>
                  <w:rFonts w:ascii="Cambria Math" w:hAnsi="Cambria Math"/>
                  <w:i/>
                </w:rPr>
              </m:ctrlPr>
            </m:mPr>
            <m:mr>
              <m:e>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e>
            </m:mr>
            <m:mr>
              <m:e>
                <m:r>
                  <w:rPr>
                    <w:rFonts w:ascii="Cambria Math" w:hAnsi="Cambria Math"/>
                    <w:lang w:val="en-US"/>
                  </w:rPr>
                  <m:t>+3</m:t>
                </m:r>
                <m:sSubSup>
                  <m:sSubSupPr>
                    <m:ctrlPr>
                      <w:rPr>
                        <w:rFonts w:ascii="Cambria Math" w:hAnsi="Cambria Math"/>
                        <w:i/>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rPr>
                    </m:ctrlPr>
                  </m:dPr>
                  <m:e>
                    <m:d>
                      <m:dPr>
                        <m:ctrlPr>
                          <w:rPr>
                            <w:rFonts w:ascii="Cambria Math" w:hAnsi="Cambria Math"/>
                            <w:i/>
                          </w:rPr>
                        </m:ctrlPr>
                      </m:dPr>
                      <m:e>
                        <m:r>
                          <m:rPr>
                            <m:sty m:val="bi"/>
                          </m:rPr>
                          <w:rPr>
                            <w:rFonts w:ascii="Cambria Math" w:hAnsi="Cambria Math"/>
                            <w:lang w:val="en-US"/>
                          </w:rPr>
                          <m:t>B</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I</m:t>
                                    </m:r>
                                  </m:e>
                                  <m:sub>
                                    <m:r>
                                      <w:rPr>
                                        <w:rFonts w:ascii="Cambria Math" w:hAnsi="Cambria Math"/>
                                        <w:lang w:val="en-US"/>
                                      </w:rPr>
                                      <m:t>k</m:t>
                                    </m:r>
                                  </m:sub>
                                </m:sSub>
                                <m:r>
                                  <w:rPr>
                                    <w:rFonts w:ascii="Cambria Math" w:hAnsi="Cambria Math"/>
                                    <w:lang w:val="en-US"/>
                                  </w:rPr>
                                  <m:t>-</m:t>
                                </m:r>
                                <m:sSubSup>
                                  <m:sSubSupPr>
                                    <m:ctrlPr>
                                      <w:rPr>
                                        <w:rFonts w:ascii="Cambria Math" w:hAnsi="Cambria Math"/>
                                        <w:i/>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r>
                                  <m:rPr>
                                    <m:sty m:val="bi"/>
                                  </m:rPr>
                                  <w:rPr>
                                    <w:rFonts w:ascii="Cambria Math" w:hAnsi="Cambria Math"/>
                                    <w:lang w:val="en-US"/>
                                  </w:rPr>
                                  <m:t>B</m:t>
                                </m:r>
                              </m:e>
                            </m:d>
                          </m:e>
                          <m:sup>
                            <m:r>
                              <w:rPr>
                                <w:rFonts w:ascii="Cambria Math" w:hAnsi="Cambria Math"/>
                                <w:lang w:val="en-US"/>
                              </w:rPr>
                              <m:t>-1</m:t>
                            </m:r>
                          </m:sup>
                        </m:sSup>
                        <m:sSubSup>
                          <m:sSubSupPr>
                            <m:ctrlPr>
                              <w:rPr>
                                <w:rFonts w:ascii="Cambria Math" w:hAnsi="Cambria Math"/>
                                <w:i/>
                              </w:rPr>
                            </m:ctrlPr>
                          </m:sSubSupPr>
                          <m:e>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e>
            </m:mr>
            <m:mr>
              <m:e>
                <m:r>
                  <w:rPr>
                    <w:rFonts w:ascii="Cambria Math" w:hAnsi="Cambria Math"/>
                    <w:lang w:val="en-US"/>
                  </w:rPr>
                  <m:t>+3</m:t>
                </m:r>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sSubSup>
                      <m:sSubSupPr>
                        <m:ctrlPr>
                          <w:rPr>
                            <w:rFonts w:ascii="Cambria Math" w:hAnsi="Cambria Math"/>
                            <w:i/>
                          </w:rPr>
                        </m:ctrlPr>
                      </m:sSubSupPr>
                      <m:e>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e>
            </m:mr>
          </m:m>
          <m:r>
            <w:rPr>
              <w:rFonts w:ascii="Cambria Math" w:hAnsi="Cambria Math"/>
              <w:lang w:val="en-US"/>
            </w:rPr>
            <m:t>,  (9)</m:t>
          </m:r>
        </m:oMath>
      </m:oMathPara>
    </w:p>
    <w:p w:rsidR="00111782" w:rsidRDefault="004B3791" w:rsidP="00111782">
      <w:pPr>
        <w:rPr>
          <w:lang w:val="en-US"/>
        </w:rPr>
      </w:pPr>
      <w:r w:rsidRPr="00D838A4">
        <w:rPr>
          <w:highlight w:val="yellow"/>
          <w:lang w:val="en-US"/>
        </w:rPr>
        <w:t>Her,</w:t>
      </w:r>
      <w:r w:rsidR="00111782">
        <w:rPr>
          <w:lang w:val="en-US"/>
        </w:rPr>
        <w:t xml:space="preserve"> bold </w:t>
      </w:r>
      <w:proofErr w:type="spellStart"/>
      <w:r w:rsidR="00111782">
        <w:rPr>
          <w:lang w:val="en-US"/>
        </w:rPr>
        <w:t>lowcap</w:t>
      </w:r>
      <w:proofErr w:type="spellEnd"/>
      <w:r w:rsidR="00111782">
        <w:rPr>
          <w:lang w:val="en-US"/>
        </w:rPr>
        <w:t xml:space="preserve"> lett</w:t>
      </w:r>
      <w:r>
        <w:rPr>
          <w:lang w:val="en-US"/>
        </w:rPr>
        <w:t>ers indicate</w:t>
      </w:r>
      <w:r w:rsidR="00111782">
        <w:rPr>
          <w:lang w:val="en-US"/>
        </w:rPr>
        <w:t xml:space="preserve"> vectors </w:t>
      </w:r>
      <w:r>
        <w:rPr>
          <w:lang w:val="en-US"/>
        </w:rPr>
        <w:t xml:space="preserve">and </w:t>
      </w:r>
      <w:proofErr w:type="spellStart"/>
      <w:r>
        <w:rPr>
          <w:lang w:val="en-US"/>
        </w:rPr>
        <w:t>and</w:t>
      </w:r>
      <w:proofErr w:type="spellEnd"/>
      <w:r>
        <w:rPr>
          <w:lang w:val="en-US"/>
        </w:rPr>
        <w:t xml:space="preserve"> bold capital letters indicate</w:t>
      </w:r>
      <w:r w:rsidR="00111782">
        <w:rPr>
          <w:lang w:val="en-US"/>
        </w:rPr>
        <w:t xml:space="preserve"> matrices. </w:t>
      </w:r>
      <w:r w:rsidR="00111782">
        <w:rPr>
          <w:b/>
          <w:lang w:val="en-US"/>
        </w:rPr>
        <w:t>B</w:t>
      </w:r>
      <w:r w:rsidR="00111782">
        <w:rPr>
          <w:lang w:val="en-US"/>
        </w:rPr>
        <w:t xml:space="preserve"> is a backward transition probability matrix that has a direct relationship to </w:t>
      </w:r>
      <w:r w:rsidR="00111782">
        <w:rPr>
          <w:b/>
          <w:lang w:val="en-US"/>
        </w:rPr>
        <w:t>P</w:t>
      </w:r>
      <w:r w:rsidR="00111782">
        <w:rPr>
          <w:lang w:val="en-US"/>
        </w:rPr>
        <w:t xml:space="preserve"> as follows:</w:t>
      </w:r>
    </w:p>
    <w:p w:rsidR="00111782" w:rsidRDefault="00D838A4" w:rsidP="00111782">
      <w:pPr>
        <w:rPr>
          <w:lang w:val="en-US"/>
        </w:rPr>
      </w:pPr>
      <m:oMathPara>
        <m:oMath>
          <m:sSub>
            <m:sSubPr>
              <m:ctrlPr>
                <w:rPr>
                  <w:rFonts w:ascii="Cambria Math" w:hAnsi="Cambria Math"/>
                  <w:i/>
                </w:rPr>
              </m:ctrlPr>
            </m:sSubPr>
            <m:e>
              <m:r>
                <w:rPr>
                  <w:rFonts w:ascii="Cambria Math" w:hAnsi="Cambria Math"/>
                  <w:lang w:val="en-US"/>
                </w:rPr>
                <m:t>b</m:t>
              </m:r>
            </m:e>
            <m:sub>
              <m:r>
                <w:rPr>
                  <w:rFonts w:ascii="Cambria Math" w:hAnsi="Cambria Math"/>
                  <w:lang w:val="en-US"/>
                </w:rPr>
                <m:t>ij</m:t>
              </m:r>
            </m:sub>
          </m:sSub>
          <m:r>
            <w:rPr>
              <w:rFonts w:ascii="Cambria Math" w:hAnsi="Cambria Math"/>
              <w:lang w:val="en-US"/>
            </w:rPr>
            <m:t>=</m:t>
          </m:r>
          <m:sSub>
            <m:sSubPr>
              <m:ctrlPr>
                <w:rPr>
                  <w:rFonts w:ascii="Cambria Math" w:hAnsi="Cambria Math"/>
                  <w:i/>
                </w:rPr>
              </m:ctrlPr>
            </m:sSubPr>
            <m:e>
              <m:r>
                <w:rPr>
                  <w:rFonts w:ascii="Cambria Math" w:hAnsi="Cambria Math"/>
                  <w:lang w:val="en-US"/>
                </w:rPr>
                <m:t>p</m:t>
              </m:r>
            </m:e>
            <m:sub>
              <m:r>
                <w:rPr>
                  <w:rFonts w:ascii="Cambria Math" w:hAnsi="Cambria Math"/>
                  <w:lang w:val="en-US"/>
                </w:rPr>
                <m:t>ji</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π</m:t>
                      </m:r>
                    </m:e>
                    <m:sub>
                      <m:r>
                        <w:rPr>
                          <w:rFonts w:ascii="Cambria Math" w:hAnsi="Cambria Math"/>
                          <w:lang w:val="en-US"/>
                        </w:rPr>
                        <m:t>j</m:t>
                      </m:r>
                    </m:sub>
                  </m:sSub>
                </m:num>
                <m:den>
                  <m:sSub>
                    <m:sSubPr>
                      <m:ctrlPr>
                        <w:rPr>
                          <w:rFonts w:ascii="Cambria Math" w:hAnsi="Cambria Math"/>
                          <w:i/>
                        </w:rPr>
                      </m:ctrlPr>
                    </m:sSubPr>
                    <m:e>
                      <m:r>
                        <w:rPr>
                          <w:rFonts w:ascii="Cambria Math" w:hAnsi="Cambria Math"/>
                          <w:lang w:val="en-US"/>
                        </w:rPr>
                        <m:t>π</m:t>
                      </m:r>
                    </m:e>
                    <m:sub>
                      <m:r>
                        <w:rPr>
                          <w:rFonts w:ascii="Cambria Math" w:hAnsi="Cambria Math"/>
                          <w:lang w:val="en-US"/>
                        </w:rPr>
                        <m:t>i</m:t>
                      </m:r>
                    </m:sub>
                  </m:sSub>
                </m:den>
              </m:f>
            </m:e>
          </m:d>
          <m:r>
            <w:rPr>
              <w:rFonts w:ascii="Cambria Math" w:hAnsi="Cambria Math"/>
              <w:lang w:val="en-US"/>
            </w:rPr>
            <m:t>,  (10)</m:t>
          </m:r>
        </m:oMath>
      </m:oMathPara>
    </w:p>
    <w:p w:rsidR="00111782" w:rsidRDefault="00111782" w:rsidP="00111782">
      <w:pPr>
        <w:rPr>
          <w:lang w:val="en-US"/>
        </w:rPr>
      </w:pPr>
      <w:r>
        <w:rPr>
          <w:lang w:val="en-US"/>
        </w:rPr>
        <w:t xml:space="preserve">Fourth moment is used to calculate unconditional kurtosis for any asset </w:t>
      </w:r>
      <w:r>
        <w:rPr>
          <w:i/>
          <w:lang w:val="en-US"/>
        </w:rPr>
        <w:t>i</w:t>
      </w:r>
      <w:r>
        <w:rPr>
          <w:lang w:val="en-US"/>
        </w:rPr>
        <w:t>.</w:t>
      </w:r>
    </w:p>
    <w:p w:rsidR="00111782" w:rsidRDefault="00D838A4" w:rsidP="00111782">
      <w:pPr>
        <w:rPr>
          <w:lang w:val="en-US"/>
        </w:rPr>
      </w:pPr>
      <m:oMathPara>
        <m:oMath>
          <m:sSub>
            <m:sSubPr>
              <m:ctrlPr>
                <w:rPr>
                  <w:rFonts w:ascii="Cambria Math" w:hAnsi="Cambria Math"/>
                  <w:i/>
                </w:rPr>
              </m:ctrlPr>
            </m:sSubPr>
            <m:e>
              <m:r>
                <w:rPr>
                  <w:rFonts w:ascii="Cambria Math" w:hAnsi="Cambria Math"/>
                  <w:lang w:val="en-US"/>
                </w:rPr>
                <m:t>Kurt</m:t>
              </m:r>
            </m:e>
            <m:sub>
              <m:r>
                <w:rPr>
                  <w:rFonts w:ascii="Cambria Math" w:hAnsi="Cambria Math"/>
                  <w:lang w:val="en-US"/>
                </w:rPr>
                <m:t>i</m:t>
              </m:r>
            </m:sub>
          </m:sSub>
          <m:r>
            <w:rPr>
              <w:rFonts w:ascii="Cambria Math" w:hAnsi="Cambria Math"/>
              <w:lang w:val="en-US"/>
            </w:rPr>
            <m:t>=</m:t>
          </m:r>
          <m:f>
            <m:fPr>
              <m:ctrlPr>
                <w:rPr>
                  <w:rFonts w:ascii="Cambria Math" w:hAnsi="Cambria Math"/>
                  <w:i/>
                </w:rPr>
              </m:ctrlPr>
            </m:fPr>
            <m:num>
              <m:r>
                <w:rPr>
                  <w:rFonts w:ascii="Cambria Math" w:hAnsi="Cambria Math"/>
                  <w:lang w:val="en-US"/>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4</m:t>
                      </m:r>
                    </m:sup>
                  </m:sSup>
                </m:e>
              </m:d>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e>
                <m:sup>
                  <m:r>
                    <w:rPr>
                      <w:rFonts w:ascii="Cambria Math" w:hAnsi="Cambria Math"/>
                      <w:lang w:val="en-US"/>
                    </w:rPr>
                    <m:t>2</m:t>
                  </m:r>
                </m:sup>
              </m:sSup>
            </m:den>
          </m:f>
          <m:r>
            <w:rPr>
              <w:rFonts w:ascii="Cambria Math" w:hAnsi="Cambria Math"/>
              <w:lang w:val="en-US"/>
            </w:rPr>
            <m:t>,  (11)</m:t>
          </m:r>
        </m:oMath>
      </m:oMathPara>
    </w:p>
    <w:p w:rsidR="00111782" w:rsidRDefault="00111782" w:rsidP="00111782">
      <w:pPr>
        <w:rPr>
          <w:lang w:val="en-US"/>
        </w:rPr>
      </w:pPr>
      <m:oMathPara>
        <m:oMath>
          <m:r>
            <w:rPr>
              <w:rFonts w:ascii="Cambria Math" w:hAnsi="Cambria Math"/>
              <w:lang w:val="en-US"/>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4</m:t>
                  </m:r>
                </m:sup>
              </m:sSup>
            </m:e>
          </m:d>
          <m:r>
            <w:rPr>
              <w:rFonts w:ascii="Cambria Math" w:hAnsi="Cambria Math"/>
            </w:rPr>
            <m:t>=</m:t>
          </m:r>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r>
            <w:rPr>
              <w:rFonts w:ascii="Cambria Math" w:eastAsiaTheme="minorEastAsia" w:hAnsi="Cambria Math"/>
            </w:rPr>
            <m:t>+6</m:t>
          </m:r>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sSubSup>
                <m:sSubSupPr>
                  <m:ctrlPr>
                    <w:rPr>
                      <w:rFonts w:ascii="Cambria Math" w:hAnsi="Cambria Math"/>
                      <w:i/>
                    </w:rPr>
                  </m:ctrlPr>
                </m:sSubSupPr>
                <m:e>
                  <m:r>
                    <w:rPr>
                      <w:rFonts w:ascii="Cambria Math" w:hAnsi="Cambria Math"/>
                      <w:lang w:val="en-US"/>
                    </w:rPr>
                    <m:t>×</m:t>
                  </m:r>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r>
            <w:rPr>
              <w:rFonts w:ascii="Cambria Math" w:hAnsi="Cambria Math"/>
              <w:lang w:val="en-US"/>
            </w:rPr>
            <m:t>+</m:t>
          </m:r>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I</m:t>
                      </m:r>
                    </m:e>
                    <m:sub>
                      <m:r>
                        <w:rPr>
                          <w:rFonts w:ascii="Cambria Math" w:hAnsi="Cambria Math"/>
                          <w:lang w:val="en-US"/>
                        </w:rPr>
                        <m:t>k</m:t>
                      </m:r>
                    </m:sub>
                  </m:sSub>
                  <m:r>
                    <w:rPr>
                      <w:rFonts w:ascii="Cambria Math" w:hAnsi="Cambria Math"/>
                      <w:lang w:val="en-US"/>
                    </w:rPr>
                    <m:t>-</m:t>
                  </m:r>
                  <m:sSubSup>
                    <m:sSubSupPr>
                      <m:ctrlPr>
                        <w:rPr>
                          <w:rFonts w:ascii="Cambria Math" w:hAnsi="Cambria Math"/>
                          <w:i/>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r>
                    <m:rPr>
                      <m:sty m:val="bi"/>
                    </m:rPr>
                    <w:rPr>
                      <w:rFonts w:ascii="Cambria Math" w:hAnsi="Cambria Math"/>
                      <w:lang w:val="en-US"/>
                    </w:rPr>
                    <m:t>B</m:t>
                  </m:r>
                </m:e>
              </m:d>
            </m:e>
            <m:sup>
              <m:r>
                <w:rPr>
                  <w:rFonts w:ascii="Cambria Math" w:hAnsi="Cambria Math"/>
                  <w:lang w:val="en-US"/>
                </w:rPr>
                <m:t>-1</m:t>
              </m:r>
            </m:sup>
          </m:sSup>
          <m:d>
            <m:dPr>
              <m:ctrlPr>
                <w:rPr>
                  <w:rFonts w:ascii="Cambria Math" w:hAnsi="Cambria Math"/>
                  <w:i/>
                  <w:lang w:val="en-US"/>
                </w:rPr>
              </m:ctrlPr>
            </m:dPr>
            <m:e>
              <m:sSubSup>
                <m:sSubSupPr>
                  <m:ctrlPr>
                    <w:rPr>
                      <w:rFonts w:ascii="Cambria Math" w:hAnsi="Cambria Math"/>
                      <w:i/>
                    </w:rPr>
                  </m:ctrlPr>
                </m:sSubSupPr>
                <m:e>
                  <m:r>
                    <w:rPr>
                      <w:rFonts w:ascii="Cambria Math" w:hAnsi="Cambria Math"/>
                      <w:lang w:val="en-US"/>
                    </w:rPr>
                    <m:t>3</m:t>
                  </m:r>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4</m:t>
                  </m:r>
                </m:sup>
              </m:sSubSup>
              <m:r>
                <w:rPr>
                  <w:rFonts w:ascii="Cambria Math" w:hAnsi="Cambria Math"/>
                  <w:lang w:val="en-US"/>
                </w:rPr>
                <m:t>+</m:t>
              </m:r>
              <m:r>
                <w:rPr>
                  <w:rFonts w:ascii="Cambria Math" w:hAnsi="Cambria Math"/>
                  <w:lang w:val="en-US"/>
                </w:rPr>
                <m:t>6</m:t>
              </m:r>
              <m:sSubSup>
                <m:sSubSupPr>
                  <m:ctrlPr>
                    <w:rPr>
                      <w:rFonts w:ascii="Cambria Math" w:hAnsi="Cambria Math"/>
                      <w:i/>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d>
                <m:dPr>
                  <m:ctrlPr>
                    <w:rPr>
                      <w:rFonts w:ascii="Cambria Math" w:hAnsi="Cambria Math"/>
                      <w:i/>
                    </w:rPr>
                  </m:ctrlPr>
                </m:dPr>
                <m:e>
                  <m:r>
                    <m:rPr>
                      <m:sty m:val="bi"/>
                    </m:rPr>
                    <w:rPr>
                      <w:rFonts w:ascii="Cambria Math" w:hAnsi="Cambria Math"/>
                      <w:lang w:val="en-US"/>
                    </w:rPr>
                    <m:t>B</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I</m:t>
                              </m:r>
                            </m:e>
                            <m:sub>
                              <m:r>
                                <w:rPr>
                                  <w:rFonts w:ascii="Cambria Math" w:hAnsi="Cambria Math"/>
                                  <w:lang w:val="en-US"/>
                                </w:rPr>
                                <m:t>k</m:t>
                              </m:r>
                            </m:sub>
                          </m:sSub>
                          <m:r>
                            <w:rPr>
                              <w:rFonts w:ascii="Cambria Math" w:hAnsi="Cambria Math"/>
                              <w:lang w:val="en-US"/>
                            </w:rPr>
                            <m:t>-</m:t>
                          </m:r>
                          <m:sSubSup>
                            <m:sSubSupPr>
                              <m:ctrlPr>
                                <w:rPr>
                                  <w:rFonts w:ascii="Cambria Math" w:hAnsi="Cambria Math"/>
                                  <w:i/>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r>
                            <m:rPr>
                              <m:sty m:val="bi"/>
                            </m:rPr>
                            <w:rPr>
                              <w:rFonts w:ascii="Cambria Math" w:hAnsi="Cambria Math"/>
                              <w:lang w:val="en-US"/>
                            </w:rPr>
                            <m:t>B</m:t>
                          </m:r>
                        </m:e>
                      </m:d>
                    </m:e>
                    <m:sup>
                      <m:r>
                        <w:rPr>
                          <w:rFonts w:ascii="Cambria Math" w:hAnsi="Cambria Math"/>
                          <w:lang w:val="en-US"/>
                        </w:rPr>
                        <m:t>-1</m:t>
                      </m:r>
                    </m:sup>
                  </m:sSup>
                  <m:sSubSup>
                    <m:sSubSupPr>
                      <m:ctrlPr>
                        <w:rPr>
                          <w:rFonts w:ascii="Cambria Math" w:hAnsi="Cambria Math"/>
                          <w:i/>
                        </w:rPr>
                      </m:ctrlPr>
                    </m:sSubSupPr>
                    <m:e>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sSubSup>
                <m:sSubSupPr>
                  <m:ctrlPr>
                    <w:rPr>
                      <w:rFonts w:ascii="Cambria Math" w:hAnsi="Cambria Math"/>
                      <w:i/>
                    </w:rPr>
                  </m:ctrlPr>
                </m:sSubSupPr>
                <m:e>
                  <m:r>
                    <w:rPr>
                      <w:rFonts w:ascii="Cambria Math" w:hAnsi="Cambria Math"/>
                      <w:lang w:val="en-US"/>
                    </w:rPr>
                    <m:t>×</m:t>
                  </m:r>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r>
            <w:rPr>
              <w:rFonts w:ascii="Cambria Math" w:hAnsi="Cambria Math"/>
              <w:lang w:val="en-US"/>
            </w:rPr>
            <m:t>+6</m:t>
          </m:r>
          <m:sSubSup>
            <m:sSubSupPr>
              <m:ctrlPr>
                <w:rPr>
                  <w:rFonts w:ascii="Cambria Math" w:hAnsi="Cambria Math"/>
                  <w:i/>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rPr>
              </m:ctrlPr>
            </m:dPr>
            <m:e>
              <m:d>
                <m:dPr>
                  <m:ctrlPr>
                    <w:rPr>
                      <w:rFonts w:ascii="Cambria Math" w:hAnsi="Cambria Math"/>
                      <w:i/>
                    </w:rPr>
                  </m:ctrlPr>
                </m:dPr>
                <m:e>
                  <m:r>
                    <m:rPr>
                      <m:sty m:val="bi"/>
                    </m:rPr>
                    <w:rPr>
                      <w:rFonts w:ascii="Cambria Math" w:hAnsi="Cambria Math"/>
                      <w:lang w:val="en-US"/>
                    </w:rPr>
                    <m:t>B</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I</m:t>
                              </m:r>
                            </m:e>
                            <m:sub>
                              <m:r>
                                <w:rPr>
                                  <w:rFonts w:ascii="Cambria Math" w:hAnsi="Cambria Math"/>
                                  <w:lang w:val="en-US"/>
                                </w:rPr>
                                <m:t>k</m:t>
                              </m:r>
                            </m:sub>
                          </m:sSub>
                          <m:r>
                            <w:rPr>
                              <w:rFonts w:ascii="Cambria Math" w:hAnsi="Cambria Math"/>
                              <w:lang w:val="en-US"/>
                            </w:rPr>
                            <m:t>-</m:t>
                          </m:r>
                          <m:sSubSup>
                            <m:sSubSupPr>
                              <m:ctrlPr>
                                <w:rPr>
                                  <w:rFonts w:ascii="Cambria Math" w:hAnsi="Cambria Math"/>
                                  <w:i/>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r>
                            <m:rPr>
                              <m:sty m:val="bi"/>
                            </m:rPr>
                            <w:rPr>
                              <w:rFonts w:ascii="Cambria Math" w:hAnsi="Cambria Math"/>
                              <w:lang w:val="en-US"/>
                            </w:rPr>
                            <m:t>B</m:t>
                          </m:r>
                        </m:e>
                      </m:d>
                    </m:e>
                    <m:sup>
                      <m:r>
                        <w:rPr>
                          <w:rFonts w:ascii="Cambria Math" w:hAnsi="Cambria Math"/>
                          <w:lang w:val="en-US"/>
                        </w:rPr>
                        <m:t>-1</m:t>
                      </m:r>
                    </m:sup>
                  </m:sSup>
                  <m:sSubSup>
                    <m:sSubSupPr>
                      <m:ctrlPr>
                        <w:rPr>
                          <w:rFonts w:ascii="Cambria Math" w:hAnsi="Cambria Math"/>
                          <w:i/>
                        </w:rPr>
                      </m:ctrlPr>
                    </m:sSubSupPr>
                    <m:e>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oMath>
      </m:oMathPara>
    </w:p>
    <w:p w:rsidR="00111782" w:rsidRDefault="002F6672" w:rsidP="00111782">
      <w:pPr>
        <w:rPr>
          <w:lang w:val="en-US"/>
        </w:rPr>
      </w:pPr>
      <w:r>
        <w:rPr>
          <w:lang w:val="en-US"/>
        </w:rPr>
        <w:lastRenderedPageBreak/>
        <w:t>Note that state</w:t>
      </w:r>
      <w:r w:rsidR="00111782">
        <w:rPr>
          <w:lang w:val="en-US"/>
        </w:rPr>
        <w:t>-independent</w:t>
      </w:r>
      <w:r>
        <w:rPr>
          <w:lang w:val="en-US"/>
        </w:rPr>
        <w:t xml:space="preserve"> autocorrelation coefficient </w:t>
      </w:r>
      <w:r w:rsidR="00111782">
        <w:rPr>
          <w:lang w:val="en-US"/>
        </w:rPr>
        <w:t>does not equal t</w:t>
      </w:r>
      <w:r>
        <w:rPr>
          <w:lang w:val="en-US"/>
        </w:rPr>
        <w:t>o unconditional autocorrelation, because both of the sub-states have unique characteristics. Hence, Timmerman also provides a formula (12) for calculating unconditional (one existing state) autocorrelation</w:t>
      </w:r>
    </w:p>
    <w:p w:rsidR="00111782" w:rsidRDefault="00111782" w:rsidP="00111782">
      <w:pPr>
        <w:rPr>
          <w:lang w:val="en-US"/>
        </w:rPr>
      </w:pPr>
      <m:oMathPara>
        <m:oMath>
          <m:r>
            <w:rPr>
              <w:rFonts w:ascii="Cambria Math" w:hAnsi="Cambria Math"/>
              <w:lang w:val="en-US"/>
            </w:rPr>
            <m:t>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lang w:val="en-US"/>
                        </w:rPr>
                        <m:t>t+1</m:t>
                      </m:r>
                    </m:sub>
                  </m:sSub>
                  <m:r>
                    <w:rPr>
                      <w:rFonts w:ascii="Cambria Math" w:hAnsi="Cambria Math"/>
                      <w:lang w:val="en-US"/>
                    </w:rPr>
                    <m:t>-μ</m:t>
                  </m:r>
                </m:e>
              </m:d>
              <m:d>
                <m:dPr>
                  <m:ctrlPr>
                    <w:rPr>
                      <w:rFonts w:ascii="Cambria Math" w:hAnsi="Cambria Math"/>
                      <w:i/>
                    </w:rPr>
                  </m:ctrlPr>
                </m:dPr>
                <m:e>
                  <m:sSub>
                    <m:sSubPr>
                      <m:ctrlPr>
                        <w:rPr>
                          <w:rFonts w:ascii="Cambria Math" w:hAnsi="Cambria Math"/>
                          <w:i/>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d>
          <m:r>
            <w:rPr>
              <w:rFonts w:ascii="Cambria Math" w:hAnsi="Cambria Math"/>
              <w:lang w:val="en-US"/>
            </w:rPr>
            <m:t>=</m:t>
          </m:r>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rPr>
              </m:ctrlPr>
            </m:dPr>
            <m:e>
              <m:d>
                <m:dPr>
                  <m:ctrlPr>
                    <w:rPr>
                      <w:rFonts w:ascii="Cambria Math" w:hAnsi="Cambria Math"/>
                      <w:i/>
                    </w:rPr>
                  </m:ctrlPr>
                </m:dPr>
                <m:e>
                  <m:r>
                    <m:rPr>
                      <m:sty m:val="bi"/>
                    </m:rPr>
                    <w:rPr>
                      <w:rFonts w:ascii="Cambria Math" w:hAnsi="Cambria Math"/>
                      <w:lang w:val="en-US"/>
                    </w:rPr>
                    <m:t>B</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r>
                <w:rPr>
                  <w:rFonts w:ascii="Cambria Math" w:hAnsi="Cambria Math"/>
                  <w:lang w:val="en-US"/>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r>
            <w:rPr>
              <w:rFonts w:ascii="Cambria Math" w:hAnsi="Cambria Math"/>
              <w:lang w:val="en-US"/>
            </w:rPr>
            <m:t>+</m:t>
          </m:r>
          <m:sSup>
            <m:sSupPr>
              <m:ctrlPr>
                <w:rPr>
                  <w:rFonts w:ascii="Cambria Math" w:hAnsi="Cambria Math"/>
                  <w:i/>
                </w:rPr>
              </m:ctrlPr>
            </m:sSupPr>
            <m:e>
              <m:sSub>
                <m:sSubPr>
                  <m:ctrlPr>
                    <w:rPr>
                      <w:rFonts w:ascii="Cambria Math" w:hAnsi="Cambria Math"/>
                      <w:i/>
                    </w:rPr>
                  </m:ctrlPr>
                </m:sSubPr>
                <m:e>
                  <m:r>
                    <w:rPr>
                      <w:rFonts w:ascii="Cambria Math" w:hAnsi="Cambria Math"/>
                      <w:lang w:val="en-US"/>
                    </w:rPr>
                    <m:t>φ</m:t>
                  </m:r>
                </m:e>
                <m:sub>
                  <m:r>
                    <w:rPr>
                      <w:rFonts w:ascii="Cambria Math" w:hAnsi="Cambria Math"/>
                      <w:lang w:val="en-US"/>
                    </w:rPr>
                    <m:t>i</m:t>
                  </m:r>
                </m:sub>
              </m:sSub>
              <m:sSup>
                <m:sSupPr>
                  <m:ctrlPr>
                    <w:rPr>
                      <w:rFonts w:ascii="Cambria Math" w:hAnsi="Cambria Math"/>
                      <w:i/>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lang w:val="en-US"/>
                        </w:rPr>
                        <m:t>I</m:t>
                      </m:r>
                    </m:e>
                    <m:sub>
                      <m:r>
                        <w:rPr>
                          <w:rFonts w:ascii="Cambria Math" w:hAnsi="Cambria Math"/>
                          <w:lang w:val="en-US"/>
                        </w:rPr>
                        <m:t>k</m:t>
                      </m:r>
                    </m:sub>
                  </m:sSub>
                  <m:r>
                    <w:rPr>
                      <w:rFonts w:ascii="Cambria Math" w:hAnsi="Cambria Math"/>
                      <w:lang w:val="en-US"/>
                    </w:rPr>
                    <m:t>-</m:t>
                  </m:r>
                  <m:sSubSup>
                    <m:sSubSupPr>
                      <m:ctrlPr>
                        <w:rPr>
                          <w:rFonts w:ascii="Cambria Math" w:hAnsi="Cambria Math"/>
                          <w:i/>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r>
                    <m:rPr>
                      <m:sty m:val="bi"/>
                    </m:rPr>
                    <w:rPr>
                      <w:rFonts w:ascii="Cambria Math" w:hAnsi="Cambria Math"/>
                      <w:lang w:val="en-US"/>
                    </w:rPr>
                    <m:t>B</m:t>
                  </m:r>
                </m:e>
              </m:d>
            </m:e>
            <m:sup>
              <m:r>
                <w:rPr>
                  <w:rFonts w:ascii="Cambria Math" w:hAnsi="Cambria Math"/>
                  <w:lang w:val="en-US"/>
                </w:rPr>
                <m:t>-1</m:t>
              </m:r>
            </m:sup>
          </m:sSup>
          <m:sSubSup>
            <m:sSubSupPr>
              <m:ctrlPr>
                <w:rPr>
                  <w:rFonts w:ascii="Cambria Math" w:hAnsi="Cambria Math"/>
                  <w:i/>
                </w:rPr>
              </m:ctrlPr>
            </m:sSubSupPr>
            <m:e>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(12)</m:t>
          </m:r>
        </m:oMath>
      </m:oMathPara>
    </w:p>
    <w:p w:rsidR="00BE3F2A" w:rsidRDefault="00A15325" w:rsidP="00A15325">
      <w:r>
        <w:br w:type="page"/>
      </w:r>
    </w:p>
    <w:p w:rsidR="00200847" w:rsidRDefault="00200847" w:rsidP="00200847">
      <w:pPr>
        <w:rPr>
          <w:lang w:val="en-US"/>
        </w:rPr>
      </w:pPr>
      <w:r>
        <w:rPr>
          <w:lang w:val="en-US"/>
        </w:rPr>
        <w:lastRenderedPageBreak/>
        <w:t xml:space="preserve">We are using customized ordinary least squares (COLS) to fit Markov model to our data. For fitting target we are minimizing the unconditional properties of the data descriptive statistics. </w:t>
      </w:r>
    </w:p>
    <w:p w:rsidR="00200847" w:rsidRDefault="00200847" w:rsidP="00200847">
      <w:pPr>
        <w:rPr>
          <w:lang w:val="en-US"/>
        </w:rPr>
      </w:pPr>
      <m:oMathPara>
        <m:oMath>
          <m:r>
            <w:rPr>
              <w:rFonts w:ascii="Cambria Math" w:hAnsi="Cambria Math"/>
              <w:lang w:val="en-US"/>
            </w:rPr>
            <m:t>COLS=</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lang w:val="en-US"/>
                </w:rPr>
                <m:t>3</m:t>
              </m:r>
            </m:sup>
            <m:e>
              <m:sSub>
                <m:sSubPr>
                  <m:ctrlPr>
                    <w:rPr>
                      <w:rFonts w:ascii="Cambria Math" w:hAnsi="Cambria Math"/>
                      <w:i/>
                    </w:rPr>
                  </m:ctrlPr>
                </m:sSubPr>
                <m:e>
                  <m:r>
                    <w:rPr>
                      <w:rFonts w:ascii="Cambria Math" w:hAnsi="Cambria Math"/>
                      <w:lang w:val="en-US"/>
                    </w:rPr>
                    <m:t>x</m:t>
                  </m:r>
                </m:e>
                <m:sub>
                  <m:r>
                    <w:rPr>
                      <w:rFonts w:ascii="Cambria Math" w:hAnsi="Cambria Math"/>
                      <w:lang w:val="en-US"/>
                    </w:rPr>
                    <m:t>mean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μ</m:t>
                          </m:r>
                        </m:e>
                        <m:sub>
                          <m:r>
                            <w:rPr>
                              <w:rFonts w:ascii="Cambria Math" w:hAnsi="Cambria Math"/>
                              <w:lang w:val="en-US"/>
                            </w:rPr>
                            <m:t>mi</m:t>
                          </m:r>
                        </m:sub>
                      </m:sSub>
                      <m:r>
                        <w:rPr>
                          <w:rFonts w:ascii="Cambria Math" w:hAnsi="Cambria Math"/>
                          <w:lang w:val="en-US"/>
                        </w:rPr>
                        <m:t>-</m:t>
                      </m:r>
                      <m:sSub>
                        <m:sSubPr>
                          <m:ctrlPr>
                            <w:rPr>
                              <w:rFonts w:ascii="Cambria Math" w:hAnsi="Cambria Math"/>
                              <w:i/>
                            </w:rPr>
                          </m:ctrlPr>
                        </m:sSubPr>
                        <m:e>
                          <m:r>
                            <w:rPr>
                              <w:rFonts w:ascii="Cambria Math" w:hAnsi="Cambria Math"/>
                              <w:lang w:val="en-US"/>
                            </w:rPr>
                            <m:t>μ</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lang w:val="en-US"/>
                    </w:rPr>
                    <m:t>stdev</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σ</m:t>
                          </m:r>
                        </m:e>
                        <m:sub>
                          <m:r>
                            <w:rPr>
                              <w:rFonts w:ascii="Cambria Math" w:hAnsi="Cambria Math"/>
                              <w:lang w:val="en-US"/>
                            </w:rPr>
                            <m:t>mi</m:t>
                          </m:r>
                        </m:sub>
                      </m:sSub>
                      <m:r>
                        <w:rPr>
                          <w:rFonts w:ascii="Cambria Math" w:hAnsi="Cambria Math"/>
                          <w:lang w:val="en-US"/>
                        </w:rPr>
                        <m:t>-</m:t>
                      </m:r>
                      <m:sSub>
                        <m:sSubPr>
                          <m:ctrlPr>
                            <w:rPr>
                              <w:rFonts w:ascii="Cambria Math" w:hAnsi="Cambria Math"/>
                              <w:i/>
                            </w:rPr>
                          </m:ctrlPr>
                        </m:sSubPr>
                        <m:e>
                          <m:r>
                            <w:rPr>
                              <w:rFonts w:ascii="Cambria Math" w:hAnsi="Cambria Math"/>
                              <w:lang w:val="en-US"/>
                            </w:rPr>
                            <m:t>σ</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lang w:val="en-US"/>
                    </w:rPr>
                    <m:t>cor</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ρ</m:t>
                          </m:r>
                        </m:e>
                        <m:sub>
                          <m:r>
                            <w:rPr>
                              <w:rFonts w:ascii="Cambria Math" w:hAnsi="Cambria Math"/>
                              <w:lang w:val="en-US"/>
                            </w:rPr>
                            <m:t>mi</m:t>
                          </m:r>
                        </m:sub>
                      </m:sSub>
                      <m:r>
                        <w:rPr>
                          <w:rFonts w:ascii="Cambria Math" w:hAnsi="Cambria Math"/>
                          <w:lang w:val="en-US"/>
                        </w:rPr>
                        <m:t>-</m:t>
                      </m:r>
                      <m:sSub>
                        <m:sSubPr>
                          <m:ctrlPr>
                            <w:rPr>
                              <w:rFonts w:ascii="Cambria Math" w:hAnsi="Cambria Math"/>
                              <w:i/>
                            </w:rPr>
                          </m:ctrlPr>
                        </m:sSubPr>
                        <m:e>
                          <m:r>
                            <w:rPr>
                              <w:rFonts w:ascii="Cambria Math" w:hAnsi="Cambria Math"/>
                              <w:lang w:val="en-US"/>
                            </w:rPr>
                            <m:t>ρ</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lang w:val="en-US"/>
                    </w:rPr>
                    <m:t>ac</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φ</m:t>
                          </m:r>
                        </m:e>
                        <m:sub>
                          <m:r>
                            <w:rPr>
                              <w:rFonts w:ascii="Cambria Math" w:hAnsi="Cambria Math"/>
                              <w:lang w:val="en-US"/>
                            </w:rPr>
                            <m:t>mi</m:t>
                          </m:r>
                        </m:sub>
                      </m:sSub>
                      <m:r>
                        <w:rPr>
                          <w:rFonts w:ascii="Cambria Math" w:hAnsi="Cambria Math"/>
                          <w:lang w:val="en-US"/>
                        </w:rPr>
                        <m:t>-</m:t>
                      </m:r>
                      <m:sSub>
                        <m:sSubPr>
                          <m:ctrlPr>
                            <w:rPr>
                              <w:rFonts w:ascii="Cambria Math" w:hAnsi="Cambria Math"/>
                              <w:i/>
                            </w:rPr>
                          </m:ctrlPr>
                        </m:sSubPr>
                        <m:e>
                          <m:r>
                            <w:rPr>
                              <w:rFonts w:ascii="Cambria Math" w:hAnsi="Cambria Math"/>
                              <w:lang w:val="en-US"/>
                            </w:rPr>
                            <m:t>φ</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lang w:val="en-US"/>
                    </w:rPr>
                    <m:t>skew</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Skew</m:t>
                          </m:r>
                        </m:e>
                        <m:sub>
                          <m:r>
                            <w:rPr>
                              <w:rFonts w:ascii="Cambria Math" w:hAnsi="Cambria Math"/>
                              <w:lang w:val="en-US"/>
                            </w:rPr>
                            <m:t>mi</m:t>
                          </m:r>
                        </m:sub>
                      </m:sSub>
                      <m:r>
                        <w:rPr>
                          <w:rFonts w:ascii="Cambria Math" w:hAnsi="Cambria Math"/>
                          <w:lang w:val="en-US"/>
                        </w:rPr>
                        <m:t>-</m:t>
                      </m:r>
                      <m:sSub>
                        <m:sSubPr>
                          <m:ctrlPr>
                            <w:rPr>
                              <w:rFonts w:ascii="Cambria Math" w:hAnsi="Cambria Math"/>
                              <w:i/>
                            </w:rPr>
                          </m:ctrlPr>
                        </m:sSubPr>
                        <m:e>
                          <m:r>
                            <w:rPr>
                              <w:rFonts w:ascii="Cambria Math" w:hAnsi="Cambria Math"/>
                              <w:lang w:val="en-US"/>
                            </w:rPr>
                            <m:t>Skew</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rPr>
                  </m:ctrlPr>
                </m:sSubPr>
                <m:e>
                  <m:r>
                    <w:rPr>
                      <w:rFonts w:ascii="Cambria Math" w:hAnsi="Cambria Math"/>
                      <w:lang w:val="en-US"/>
                    </w:rPr>
                    <m:t>x</m:t>
                  </m:r>
                </m:e>
                <m:sub>
                  <m:r>
                    <w:rPr>
                      <w:rFonts w:ascii="Cambria Math" w:hAnsi="Cambria Math"/>
                      <w:lang w:val="en-US"/>
                    </w:rPr>
                    <m:t>kurt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lang w:val="en-US"/>
                            </w:rPr>
                            <m:t>Kurt</m:t>
                          </m:r>
                        </m:e>
                        <m:sub>
                          <m:r>
                            <w:rPr>
                              <w:rFonts w:ascii="Cambria Math" w:hAnsi="Cambria Math"/>
                              <w:lang w:val="en-US"/>
                            </w:rPr>
                            <m:t>mi</m:t>
                          </m:r>
                        </m:sub>
                      </m:sSub>
                      <m:r>
                        <w:rPr>
                          <w:rFonts w:ascii="Cambria Math" w:hAnsi="Cambria Math"/>
                          <w:lang w:val="en-US"/>
                        </w:rPr>
                        <m:t>-</m:t>
                      </m:r>
                      <m:sSub>
                        <m:sSubPr>
                          <m:ctrlPr>
                            <w:rPr>
                              <w:rFonts w:ascii="Cambria Math" w:hAnsi="Cambria Math"/>
                              <w:i/>
                            </w:rPr>
                          </m:ctrlPr>
                        </m:sSubPr>
                        <m:e>
                          <m:r>
                            <w:rPr>
                              <w:rFonts w:ascii="Cambria Math" w:hAnsi="Cambria Math"/>
                              <w:lang w:val="en-US"/>
                            </w:rPr>
                            <m:t>Kurt</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 xml:space="preserve">,  </m:t>
              </m:r>
              <m:d>
                <m:dPr>
                  <m:ctrlPr>
                    <w:rPr>
                      <w:rFonts w:ascii="Cambria Math" w:hAnsi="Cambria Math"/>
                      <w:i/>
                    </w:rPr>
                  </m:ctrlPr>
                </m:dPr>
                <m:e>
                  <m:r>
                    <w:rPr>
                      <w:rFonts w:ascii="Cambria Math" w:hAnsi="Cambria Math"/>
                      <w:lang w:val="en-US"/>
                    </w:rPr>
                    <m:t>13</m:t>
                  </m:r>
                </m:e>
              </m:d>
            </m:e>
          </m:nary>
        </m:oMath>
      </m:oMathPara>
    </w:p>
    <w:p w:rsidR="00200847" w:rsidRDefault="00200847" w:rsidP="00200847">
      <w:pPr>
        <w:rPr>
          <w:lang w:val="en-US"/>
        </w:rPr>
      </w:pPr>
      <w:r>
        <w:rPr>
          <w:lang w:val="en-US"/>
        </w:rPr>
        <w:t>Because of our parameters lie in different scales (</w:t>
      </w:r>
      <w:proofErr w:type="spellStart"/>
      <w:r>
        <w:rPr>
          <w:lang w:val="en-US"/>
        </w:rPr>
        <w:t>e.g</w:t>
      </w:r>
      <w:proofErr w:type="spellEnd"/>
      <w:r>
        <w:rPr>
          <w:lang w:val="en-US"/>
        </w:rPr>
        <w:t xml:space="preserve"> means in 10</w:t>
      </w:r>
      <w:r>
        <w:rPr>
          <w:vertAlign w:val="superscript"/>
          <w:lang w:val="en-US"/>
        </w:rPr>
        <w:t>-3</w:t>
      </w:r>
      <w:r>
        <w:rPr>
          <w:lang w:val="en-US"/>
        </w:rPr>
        <w:t>, kurtosis above 1) simple use of ordinary least squares is not feasible. Therefore, the use of RLS (relative least squares) seems to be the most appropriate. The method does have several drawbacks, such as imprecision in terms of weighing the returns of bonds, LPE and stock. As a result, we use a method very similar to both, OLS and RLS.  We use several sets of constants for estimation to ensure equal representation of all 6 elements (</w:t>
      </w:r>
      <w:proofErr w:type="spellStart"/>
      <w:r>
        <w:rPr>
          <w:lang w:val="en-US"/>
        </w:rPr>
        <w:t>e.g</w:t>
      </w:r>
      <w:proofErr w:type="spellEnd"/>
      <w:r>
        <w:rPr>
          <w:lang w:val="en-US"/>
        </w:rPr>
        <w:t xml:space="preserve"> for dataset #2 we used </w:t>
      </w:r>
      <w:proofErr w:type="spellStart"/>
      <w:r>
        <w:rPr>
          <w:lang w:val="en-US"/>
        </w:rPr>
        <w:t>xmean</w:t>
      </w:r>
      <w:proofErr w:type="spellEnd"/>
      <w:r>
        <w:rPr>
          <w:lang w:val="en-US"/>
        </w:rPr>
        <w:t xml:space="preserve">=100000, </w:t>
      </w:r>
      <w:proofErr w:type="spellStart"/>
      <w:r>
        <w:rPr>
          <w:lang w:val="en-US"/>
        </w:rPr>
        <w:t>xstdev</w:t>
      </w:r>
      <w:proofErr w:type="spellEnd"/>
      <w:r>
        <w:rPr>
          <w:lang w:val="en-US"/>
        </w:rPr>
        <w:t xml:space="preserve">=1000, </w:t>
      </w:r>
      <w:proofErr w:type="spellStart"/>
      <w:r>
        <w:rPr>
          <w:lang w:val="en-US"/>
        </w:rPr>
        <w:t>xcor</w:t>
      </w:r>
      <w:proofErr w:type="spellEnd"/>
      <w:r>
        <w:rPr>
          <w:lang w:val="en-US"/>
        </w:rPr>
        <w:t xml:space="preserve">=0.5, </w:t>
      </w:r>
      <w:proofErr w:type="spellStart"/>
      <w:r>
        <w:rPr>
          <w:lang w:val="en-US"/>
        </w:rPr>
        <w:t>xskew</w:t>
      </w:r>
      <w:proofErr w:type="spellEnd"/>
      <w:r>
        <w:rPr>
          <w:lang w:val="en-US"/>
        </w:rPr>
        <w:t xml:space="preserve">=1, </w:t>
      </w:r>
      <w:proofErr w:type="spellStart"/>
      <w:r>
        <w:rPr>
          <w:lang w:val="en-US"/>
        </w:rPr>
        <w:t>xkurt</w:t>
      </w:r>
      <w:proofErr w:type="spellEnd"/>
      <w:r>
        <w:rPr>
          <w:lang w:val="en-US"/>
        </w:rPr>
        <w:t xml:space="preserve">=0.1). </w:t>
      </w:r>
    </w:p>
    <w:p w:rsidR="00200847" w:rsidRDefault="00200847" w:rsidP="00200847">
      <w:pPr>
        <w:rPr>
          <w:lang w:val="en-US"/>
        </w:rPr>
      </w:pPr>
      <w:r>
        <w:rPr>
          <w:lang w:val="en-US"/>
        </w:rPr>
        <w:t>The following constraints were applied to the model</w:t>
      </w:r>
      <w:proofErr w:type="gramStart"/>
      <w:r>
        <w:rPr>
          <w:lang w:val="en-US"/>
        </w:rPr>
        <w:t xml:space="preserve">: </w:t>
      </w:r>
      <w:proofErr w:type="gramEnd"/>
      <m:oMath>
        <m:sSub>
          <m:sSubPr>
            <m:ctrlPr>
              <w:rPr>
                <w:rFonts w:ascii="Cambria Math" w:hAnsi="Cambria Math"/>
                <w:i/>
              </w:rPr>
            </m:ctrlPr>
          </m:sSubPr>
          <m:e>
            <m:r>
              <w:rPr>
                <w:rFonts w:ascii="Cambria Math" w:hAnsi="Cambria Math"/>
                <w:lang w:val="en-US"/>
              </w:rPr>
              <m:t>μ</m:t>
            </m:r>
          </m:e>
          <m:sub>
            <m:r>
              <w:rPr>
                <w:rFonts w:ascii="Cambria Math" w:hAnsi="Cambria Math"/>
                <w:lang w:val="en-US"/>
              </w:rPr>
              <m:t>mi</m:t>
            </m:r>
          </m:sub>
        </m:sSub>
        <m:r>
          <w:rPr>
            <w:rFonts w:ascii="Cambria Math" w:hAnsi="Cambria Math"/>
            <w:lang w:val="en-US"/>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μ</m:t>
                </m:r>
              </m:e>
              <m:sub>
                <m:r>
                  <w:rPr>
                    <w:rFonts w:ascii="Cambria Math" w:hAnsi="Cambria Math"/>
                    <w:lang w:val="en-US"/>
                  </w:rPr>
                  <m:t>di</m:t>
                </m:r>
              </m:sub>
            </m:sSub>
            <m:r>
              <w:rPr>
                <w:rFonts w:ascii="Cambria Math" w:hAnsi="Cambria Math"/>
                <w:lang w:val="en-US"/>
              </w:rPr>
              <m:t>-2</m:t>
            </m:r>
            <m:sSub>
              <m:sSubPr>
                <m:ctrlPr>
                  <w:rPr>
                    <w:rFonts w:ascii="Cambria Math" w:hAnsi="Cambria Math"/>
                    <w:i/>
                  </w:rPr>
                </m:ctrlPr>
              </m:sSubPr>
              <m:e>
                <m:r>
                  <w:rPr>
                    <w:rFonts w:ascii="Cambria Math" w:hAnsi="Cambria Math"/>
                    <w:lang w:val="en-US"/>
                  </w:rPr>
                  <m:t>σ</m:t>
                </m:r>
              </m:e>
              <m:sub>
                <m:r>
                  <w:rPr>
                    <w:rFonts w:ascii="Cambria Math" w:hAnsi="Cambria Math"/>
                    <w:lang w:val="en-US"/>
                  </w:rPr>
                  <m:t>di</m:t>
                </m:r>
              </m:sub>
            </m:sSub>
            <m:r>
              <w:rPr>
                <w:rFonts w:ascii="Cambria Math" w:hAnsi="Cambria Math"/>
                <w:lang w:val="en-US"/>
              </w:rPr>
              <m:t xml:space="preserve">; </m:t>
            </m:r>
            <m:sSub>
              <m:sSubPr>
                <m:ctrlPr>
                  <w:rPr>
                    <w:rFonts w:ascii="Cambria Math" w:hAnsi="Cambria Math"/>
                    <w:i/>
                  </w:rPr>
                </m:ctrlPr>
              </m:sSubPr>
              <m:e>
                <m:r>
                  <w:rPr>
                    <w:rFonts w:ascii="Cambria Math" w:hAnsi="Cambria Math"/>
                    <w:lang w:val="en-US"/>
                  </w:rPr>
                  <m:t>μ</m:t>
                </m:r>
              </m:e>
              <m:sub>
                <m:r>
                  <w:rPr>
                    <w:rFonts w:ascii="Cambria Math" w:hAnsi="Cambria Math"/>
                    <w:lang w:val="en-US"/>
                  </w:rPr>
                  <m:t>di</m:t>
                </m:r>
              </m:sub>
            </m:sSub>
            <m:r>
              <w:rPr>
                <w:rFonts w:ascii="Cambria Math" w:hAnsi="Cambria Math"/>
                <w:lang w:val="en-US"/>
              </w:rPr>
              <m:t>+2</m:t>
            </m:r>
            <m:sSub>
              <m:sSubPr>
                <m:ctrlPr>
                  <w:rPr>
                    <w:rFonts w:ascii="Cambria Math" w:hAnsi="Cambria Math"/>
                    <w:i/>
                  </w:rPr>
                </m:ctrlPr>
              </m:sSubPr>
              <m:e>
                <m:r>
                  <w:rPr>
                    <w:rFonts w:ascii="Cambria Math" w:hAnsi="Cambria Math"/>
                    <w:lang w:val="en-US"/>
                  </w:rPr>
                  <m:t>σ</m:t>
                </m:r>
              </m:e>
              <m:sub>
                <m:r>
                  <w:rPr>
                    <w:rFonts w:ascii="Cambria Math" w:hAnsi="Cambria Math"/>
                    <w:lang w:val="en-US"/>
                  </w:rPr>
                  <m:t>di</m:t>
                </m:r>
              </m:sub>
            </m:sSub>
          </m:e>
        </m:d>
      </m:oMath>
      <w:r>
        <w:rPr>
          <w:lang w:val="en-US"/>
        </w:rPr>
        <w:t xml:space="preserve">, </w:t>
      </w:r>
      <m:oMath>
        <m:sSub>
          <m:sSubPr>
            <m:ctrlPr>
              <w:rPr>
                <w:rFonts w:ascii="Cambria Math" w:hAnsi="Cambria Math"/>
                <w:i/>
              </w:rPr>
            </m:ctrlPr>
          </m:sSubPr>
          <m:e>
            <m:r>
              <w:rPr>
                <w:rFonts w:ascii="Cambria Math" w:hAnsi="Cambria Math"/>
                <w:lang w:val="en-US"/>
              </w:rPr>
              <m:t>σ</m:t>
            </m:r>
          </m:e>
          <m:sub>
            <m:r>
              <w:rPr>
                <w:rFonts w:ascii="Cambria Math" w:hAnsi="Cambria Math"/>
                <w:lang w:val="en-US"/>
              </w:rPr>
              <m:t>mi</m:t>
            </m:r>
          </m:sub>
        </m:sSub>
        <m:r>
          <w:rPr>
            <w:rFonts w:ascii="Cambria Math" w:hAnsi="Cambria Math"/>
            <w:lang w:val="en-US"/>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lang w:val="en-US"/>
                      </w:rPr>
                      <m:t>σ</m:t>
                    </m:r>
                  </m:e>
                  <m:sub>
                    <m:r>
                      <w:rPr>
                        <w:rFonts w:ascii="Cambria Math" w:hAnsi="Cambria Math"/>
                        <w:lang w:val="en-US"/>
                      </w:rPr>
                      <m:t>di</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rPr>
                </m:ctrlPr>
              </m:sSubPr>
              <m:e>
                <m:r>
                  <w:rPr>
                    <w:rFonts w:ascii="Cambria Math" w:hAnsi="Cambria Math"/>
                    <w:lang w:val="en-US"/>
                  </w:rPr>
                  <m:t>2σ</m:t>
                </m:r>
              </m:e>
              <m:sub>
                <m:r>
                  <w:rPr>
                    <w:rFonts w:ascii="Cambria Math" w:hAnsi="Cambria Math"/>
                    <w:lang w:val="en-US"/>
                  </w:rPr>
                  <m:t>di</m:t>
                </m:r>
              </m:sub>
            </m:sSub>
          </m:e>
        </m:d>
      </m:oMath>
      <w:r>
        <w:rPr>
          <w:lang w:val="en-US"/>
        </w:rPr>
        <w:t xml:space="preserve">, </w:t>
      </w:r>
      <m:oMath>
        <m:sSub>
          <m:sSubPr>
            <m:ctrlPr>
              <w:rPr>
                <w:rFonts w:ascii="Cambria Math" w:hAnsi="Cambria Math"/>
                <w:i/>
              </w:rPr>
            </m:ctrlPr>
          </m:sSubPr>
          <m:e>
            <m:r>
              <w:rPr>
                <w:rFonts w:ascii="Cambria Math" w:hAnsi="Cambria Math"/>
                <w:lang w:val="en-US"/>
              </w:rPr>
              <m:t>ρ</m:t>
            </m:r>
          </m:e>
          <m:sub>
            <m:r>
              <w:rPr>
                <w:rFonts w:ascii="Cambria Math" w:hAnsi="Cambria Math"/>
                <w:lang w:val="en-US"/>
              </w:rPr>
              <m:t>mi</m:t>
            </m:r>
          </m:sub>
        </m:sSub>
        <m:r>
          <w:rPr>
            <w:rFonts w:ascii="Cambria Math" w:hAnsi="Cambria Math"/>
            <w:lang w:val="en-US"/>
          </w:rPr>
          <m:t>∈</m:t>
        </m:r>
        <m:d>
          <m:dPr>
            <m:begChr m:val="["/>
            <m:endChr m:val="]"/>
            <m:ctrlPr>
              <w:rPr>
                <w:rFonts w:ascii="Cambria Math" w:hAnsi="Cambria Math"/>
                <w:i/>
              </w:rPr>
            </m:ctrlPr>
          </m:dPr>
          <m:e>
            <m:r>
              <w:rPr>
                <w:rFonts w:ascii="Cambria Math" w:hAnsi="Cambria Math"/>
                <w:lang w:val="en-US"/>
              </w:rPr>
              <m:t>-1; +1</m:t>
            </m:r>
          </m:e>
        </m:d>
      </m:oMath>
      <w:r>
        <w:rPr>
          <w:lang w:val="en-US"/>
        </w:rPr>
        <w:t xml:space="preserve">, </w:t>
      </w:r>
      <m:oMath>
        <m:sSub>
          <m:sSubPr>
            <m:ctrlPr>
              <w:rPr>
                <w:rFonts w:ascii="Cambria Math" w:hAnsi="Cambria Math"/>
                <w:i/>
              </w:rPr>
            </m:ctrlPr>
          </m:sSubPr>
          <m:e>
            <m:r>
              <w:rPr>
                <w:rFonts w:ascii="Cambria Math" w:hAnsi="Cambria Math"/>
                <w:lang w:val="en-US"/>
              </w:rPr>
              <m:t>φ</m:t>
            </m:r>
          </m:e>
          <m:sub>
            <m:r>
              <w:rPr>
                <w:rFonts w:ascii="Cambria Math" w:hAnsi="Cambria Math"/>
                <w:lang w:val="en-US"/>
              </w:rPr>
              <m:t>mi</m:t>
            </m:r>
          </m:sub>
        </m:sSub>
        <m:r>
          <w:rPr>
            <w:rFonts w:ascii="Cambria Math" w:hAnsi="Cambria Math"/>
            <w:lang w:val="en-US"/>
          </w:rPr>
          <m:t>∈</m:t>
        </m:r>
        <m:d>
          <m:dPr>
            <m:begChr m:val="["/>
            <m:endChr m:val="]"/>
            <m:ctrlPr>
              <w:rPr>
                <w:rFonts w:ascii="Cambria Math" w:hAnsi="Cambria Math"/>
                <w:i/>
              </w:rPr>
            </m:ctrlPr>
          </m:dPr>
          <m:e>
            <m:r>
              <w:rPr>
                <w:rFonts w:ascii="Cambria Math" w:hAnsi="Cambria Math"/>
                <w:lang w:val="en-US"/>
              </w:rPr>
              <m:t>-1; +1</m:t>
            </m:r>
          </m:e>
        </m:d>
      </m:oMath>
      <w:r>
        <w:rPr>
          <w:lang w:val="en-US"/>
        </w:rPr>
        <w:t xml:space="preserve"> and probability matrix constraint in (2). </w:t>
      </w:r>
    </w:p>
    <w:p w:rsidR="00200847" w:rsidRDefault="00200847" w:rsidP="00200847">
      <w:pPr>
        <w:pStyle w:val="Body"/>
        <w:rPr>
          <w:rFonts w:ascii="Calibri"/>
          <w:lang w:val="en-US"/>
        </w:rPr>
      </w:pPr>
    </w:p>
    <w:p w:rsidR="00200847" w:rsidRDefault="00200847" w:rsidP="00200847">
      <w:pPr>
        <w:pStyle w:val="Body"/>
      </w:pPr>
      <w:r>
        <w:rPr>
          <w:rFonts w:ascii="Calibri"/>
          <w:lang w:val="en-US"/>
        </w:rPr>
        <w:t>Monte Carlo methodology</w:t>
      </w:r>
    </w:p>
    <w:p w:rsidR="00200847" w:rsidRDefault="00200847" w:rsidP="00200847">
      <w:pPr>
        <w:pStyle w:val="Body"/>
      </w:pPr>
      <w:r>
        <w:rPr>
          <w:rFonts w:ascii="Calibri"/>
          <w:lang w:val="en-US"/>
        </w:rPr>
        <w:t xml:space="preserve">Monte Carlo methodology is used for the purpose of </w:t>
      </w:r>
      <w:proofErr w:type="spellStart"/>
      <w:r>
        <w:rPr>
          <w:rFonts w:ascii="Calibri"/>
          <w:lang w:val="en-US"/>
        </w:rPr>
        <w:t>randomising</w:t>
      </w:r>
      <w:proofErr w:type="spellEnd"/>
      <w:r>
        <w:rPr>
          <w:rFonts w:ascii="Calibri"/>
          <w:lang w:val="en-US"/>
        </w:rPr>
        <w:t xml:space="preserve"> the sub-states. The method uniformly draws 1000 samples of 1000 parameter sets, chooses the best fitted parameter set for every sample, and drops the worst sample rates.  In the following step, each of the samples is considered as a starting point for next 1000 uniformly drawn parameter sets, thus allowing the use of best COLS between samples. </w:t>
      </w:r>
    </w:p>
    <w:p w:rsidR="00200847" w:rsidRDefault="00200847" w:rsidP="00200847">
      <w:pPr>
        <w:pStyle w:val="Body"/>
      </w:pPr>
      <w:r>
        <w:rPr>
          <w:rFonts w:ascii="Calibri"/>
          <w:lang w:val="en-US"/>
        </w:rPr>
        <w:t xml:space="preserve">There are several advantages to using this method for the purpose of our research. Firstly, size of the allowed space seems to matters the most. If starting constraints for mean were 3 standard deviations above statistical mean or if the allowed space for conditional standard variance was multitude of 5 or more, no reasonable results could be gained. Therefore starting constraints for mean and standard variance were introduced, and variable was used to limit and focus the searching space. These two improvements were crucial to gain reasonable results and significantly improved the accuracy of our results (2-3 magnitudes). </w:t>
      </w:r>
    </w:p>
    <w:p w:rsidR="00200847" w:rsidRDefault="00200847" w:rsidP="00200847">
      <w:pPr>
        <w:pStyle w:val="Body"/>
      </w:pPr>
      <w:r>
        <w:rPr>
          <w:rFonts w:ascii="Calibri"/>
          <w:lang w:val="en-US"/>
        </w:rPr>
        <w:t>Secondly, although the q variable should theoretically bias the results by arbitrary filtering, it was introduced only later during tests observing no improvements in 2</w:t>
      </w:r>
      <w:r>
        <w:rPr>
          <w:rFonts w:ascii="Calibri"/>
          <w:vertAlign w:val="superscript"/>
          <w:lang w:val="en-US"/>
        </w:rPr>
        <w:t>rd</w:t>
      </w:r>
      <w:r>
        <w:rPr>
          <w:rFonts w:ascii="Calibri"/>
          <w:lang w:val="en-US"/>
        </w:rPr>
        <w:t xml:space="preserve"> up to 4</w:t>
      </w:r>
      <w:r>
        <w:rPr>
          <w:rFonts w:ascii="Calibri"/>
          <w:vertAlign w:val="superscript"/>
          <w:lang w:val="en-US"/>
        </w:rPr>
        <w:t>th</w:t>
      </w:r>
      <w:r>
        <w:rPr>
          <w:rFonts w:ascii="Calibri"/>
          <w:lang w:val="en-US"/>
        </w:rPr>
        <w:t xml:space="preserve"> iteration practice lower tail results. The introduction of q improved the performance of model significantly. </w:t>
      </w:r>
    </w:p>
    <w:p w:rsidR="00200847" w:rsidRDefault="00200847" w:rsidP="00200847">
      <w:pPr>
        <w:pStyle w:val="Body"/>
      </w:pPr>
      <w:r>
        <w:rPr>
          <w:rFonts w:ascii="Calibri"/>
          <w:lang w:val="en-US"/>
        </w:rPr>
        <w:t>Thirdly, balancing weights for COLS is not only important to get a significant result, but it also allows for improvement in the calculation process by improving significance of mean values, since all the properties in the model are very sensitive to mean.</w:t>
      </w:r>
    </w:p>
    <w:p w:rsidR="00200847" w:rsidRDefault="00200847" w:rsidP="00200847">
      <w:pPr>
        <w:pStyle w:val="Body"/>
      </w:pPr>
      <w:r>
        <w:rPr>
          <w:rFonts w:ascii="Calibri"/>
          <w:lang w:val="en-US"/>
        </w:rPr>
        <w:t>Fourthly, correct parameter choice is integral, since initial model based on variance-covariance matrix instead of standard deviation and correlation was unable to produce any significant results probably because random searching is done linearly over space and standard deviation with correlation is more linear than variance.</w:t>
      </w:r>
    </w:p>
    <w:p w:rsidR="00200847" w:rsidRDefault="00200847" w:rsidP="00200847">
      <w:pPr>
        <w:pStyle w:val="Body"/>
      </w:pPr>
      <w:r>
        <w:rPr>
          <w:rFonts w:ascii="Calibri"/>
          <w:lang w:val="en-US"/>
        </w:rPr>
        <w:t>Fifthly, most of the time all good fittings have an unconditional probability of state 1 above 99%. That effectively cancels out the Markov model as a whole because Markov model with significant weight in one state over the other deems the whole existence of states unnecessary. As fitting becomes more effective the limit of 99%, fits are no longer observable most likely because of the limited precision that a single state model can describe data with.</w:t>
      </w:r>
    </w:p>
    <w:p w:rsidR="00200847" w:rsidRDefault="00200847" w:rsidP="00200847">
      <w:pPr>
        <w:pStyle w:val="Body"/>
      </w:pPr>
      <w:r>
        <w:rPr>
          <w:rFonts w:ascii="Calibri"/>
          <w:lang w:val="en-US"/>
        </w:rPr>
        <w:lastRenderedPageBreak/>
        <w:t xml:space="preserve">Since no reasonable alternative could be found, all the processes were implemented by team members themselves in programming language </w:t>
      </w:r>
      <w:proofErr w:type="spellStart"/>
      <w:r>
        <w:rPr>
          <w:rFonts w:ascii="Calibri"/>
          <w:lang w:val="en-US"/>
        </w:rPr>
        <w:t>Lua</w:t>
      </w:r>
      <w:proofErr w:type="spellEnd"/>
      <w:r>
        <w:rPr>
          <w:rFonts w:ascii="Calibri"/>
          <w:lang w:val="en-US"/>
        </w:rPr>
        <w:t xml:space="preserve"> during the course consulting mainly academic papers. You are welcome to consult the code itself and various raw data available online [1]. </w:t>
      </w:r>
    </w:p>
    <w:p w:rsidR="00200847" w:rsidRDefault="00200847" w:rsidP="00A15325">
      <w:pPr>
        <w:pStyle w:val="Default"/>
        <w:ind w:firstLine="720"/>
        <w:rPr>
          <w:rFonts w:ascii="Times New Roman"/>
          <w:b/>
          <w:bCs/>
          <w:sz w:val="24"/>
          <w:szCs w:val="24"/>
        </w:rPr>
      </w:pPr>
    </w:p>
    <w:p w:rsidR="00200847" w:rsidRDefault="00200847" w:rsidP="00A15325">
      <w:pPr>
        <w:pStyle w:val="Default"/>
        <w:ind w:firstLine="720"/>
        <w:rPr>
          <w:rFonts w:ascii="Times New Roman"/>
          <w:b/>
          <w:bCs/>
          <w:sz w:val="24"/>
          <w:szCs w:val="24"/>
        </w:rPr>
      </w:pPr>
    </w:p>
    <w:p w:rsidR="00A15325" w:rsidRDefault="00A15325" w:rsidP="00A15325">
      <w:pPr>
        <w:pStyle w:val="Default"/>
        <w:ind w:firstLine="720"/>
        <w:rPr>
          <w:rFonts w:ascii="Times" w:eastAsia="Times" w:hAnsi="Times" w:cs="Times"/>
          <w:sz w:val="24"/>
          <w:szCs w:val="24"/>
        </w:rPr>
      </w:pPr>
      <w:r>
        <w:rPr>
          <w:rFonts w:ascii="Times New Roman"/>
          <w:b/>
          <w:bCs/>
          <w:sz w:val="24"/>
          <w:szCs w:val="24"/>
        </w:rPr>
        <w:t>Literature Review</w:t>
      </w:r>
    </w:p>
    <w:p w:rsidR="00A15325" w:rsidRDefault="00A15325" w:rsidP="00A15325">
      <w:pPr>
        <w:pStyle w:val="Default"/>
        <w:ind w:firstLine="720"/>
        <w:rPr>
          <w:rFonts w:ascii="Times" w:eastAsia="Times" w:hAnsi="Times" w:cs="Times"/>
          <w:sz w:val="24"/>
          <w:szCs w:val="24"/>
        </w:rPr>
      </w:pPr>
      <w:r>
        <w:rPr>
          <w:rFonts w:ascii="Times New Roman"/>
          <w:sz w:val="24"/>
          <w:szCs w:val="24"/>
        </w:rPr>
        <w:t>While private equity is mostly defined as investments into companies that are not quoted on stock market (EVCA &amp; Thomson Reuters, 2014), this does not limit the scope of PE investing. PE investments can also occur in listed companies (PELE investments) by purchasing large blocks directly from investors (</w:t>
      </w:r>
      <w:proofErr w:type="spellStart"/>
      <w:r>
        <w:rPr>
          <w:rFonts w:ascii="Times New Roman"/>
          <w:sz w:val="24"/>
          <w:szCs w:val="24"/>
        </w:rPr>
        <w:t>Stotz</w:t>
      </w:r>
      <w:proofErr w:type="spellEnd"/>
      <w:r>
        <w:rPr>
          <w:rFonts w:ascii="Times New Roman"/>
          <w:sz w:val="24"/>
          <w:szCs w:val="24"/>
        </w:rPr>
        <w:t xml:space="preserve"> , 2011), in securities with </w:t>
      </w:r>
      <w:r>
        <w:rPr>
          <w:rFonts w:hAnsi="Times New Roman"/>
          <w:sz w:val="24"/>
          <w:szCs w:val="24"/>
        </w:rPr>
        <w:t>“</w:t>
      </w:r>
      <w:r>
        <w:rPr>
          <w:rFonts w:ascii="Times New Roman"/>
          <w:sz w:val="24"/>
          <w:szCs w:val="24"/>
        </w:rPr>
        <w:t>equity features</w:t>
      </w:r>
      <w:r>
        <w:rPr>
          <w:rFonts w:hAnsi="Times New Roman"/>
          <w:sz w:val="24"/>
          <w:szCs w:val="24"/>
        </w:rPr>
        <w:t>”</w:t>
      </w:r>
      <w:r>
        <w:rPr>
          <w:rFonts w:hAnsi="Times New Roman"/>
          <w:sz w:val="24"/>
          <w:szCs w:val="24"/>
        </w:rPr>
        <w:t xml:space="preserve"> </w:t>
      </w:r>
      <w:r>
        <w:rPr>
          <w:rFonts w:ascii="Times New Roman"/>
          <w:sz w:val="24"/>
          <w:szCs w:val="24"/>
        </w:rPr>
        <w:t xml:space="preserve">such as convertible preferred stocks or any kind of similar alternative assets with a value-adding active investment strategy (Soderblom, A., 2011). Private equity investors are perceived as successful and tend to focus on improvement of companies through corporate, operational and governance engineering (Kaplan, S. N., &amp; </w:t>
      </w:r>
      <w:proofErr w:type="spellStart"/>
      <w:r>
        <w:rPr>
          <w:rFonts w:ascii="Times New Roman"/>
          <w:sz w:val="24"/>
          <w:szCs w:val="24"/>
        </w:rPr>
        <w:t>Str</w:t>
      </w:r>
      <w:r>
        <w:rPr>
          <w:rFonts w:hAnsi="Times New Roman"/>
          <w:sz w:val="24"/>
          <w:szCs w:val="24"/>
        </w:rPr>
        <w:t>ö</w:t>
      </w:r>
      <w:r>
        <w:rPr>
          <w:rFonts w:ascii="Times New Roman"/>
          <w:sz w:val="24"/>
          <w:szCs w:val="24"/>
        </w:rPr>
        <w:t>mberg</w:t>
      </w:r>
      <w:proofErr w:type="spellEnd"/>
      <w:r>
        <w:rPr>
          <w:rFonts w:ascii="Times New Roman"/>
          <w:sz w:val="24"/>
          <w:szCs w:val="24"/>
        </w:rPr>
        <w:t>, P., 2009). Authors indicate that empirical results following increased performance of firms are attributable to PE investors bargaining well, successfully targeting boards that bargain badly and by taking advantage of market mispricing for successful investing.</w:t>
      </w:r>
    </w:p>
    <w:p w:rsidR="00A15325" w:rsidRDefault="00A15325" w:rsidP="00A15325">
      <w:pPr>
        <w:pStyle w:val="Default"/>
        <w:ind w:firstLine="720"/>
        <w:rPr>
          <w:rFonts w:ascii="Times" w:eastAsia="Times" w:hAnsi="Times" w:cs="Times"/>
          <w:sz w:val="24"/>
          <w:szCs w:val="24"/>
        </w:rPr>
      </w:pPr>
      <w:r>
        <w:rPr>
          <w:rFonts w:ascii="Times New Roman"/>
          <w:sz w:val="24"/>
          <w:szCs w:val="24"/>
        </w:rPr>
        <w:t xml:space="preserve">According to </w:t>
      </w:r>
      <w:proofErr w:type="spellStart"/>
      <w:r>
        <w:rPr>
          <w:rFonts w:ascii="Times New Roman"/>
          <w:sz w:val="24"/>
          <w:szCs w:val="24"/>
        </w:rPr>
        <w:t>Aigner</w:t>
      </w:r>
      <w:proofErr w:type="spellEnd"/>
      <w:r>
        <w:rPr>
          <w:rFonts w:ascii="Times New Roman"/>
          <w:sz w:val="24"/>
          <w:szCs w:val="24"/>
        </w:rPr>
        <w:t xml:space="preserve"> et al. (2010), private equity can be classified mainly in two financing stages: venture capital and buyout. Venture capital funds concentrate on investments in early or expansion stage companies. The early stage includes seed, start-up and first stage financing when the companies are raising money to develop the concept of the company or business plan, and are in need for extra financing from the side. An expansion stage investing carries lower risk than the early stage and at this stage enterprises can still be in a need of additional financing to expand to new markets or further develop a production line. Buyout funds are slightly different from venture capital, as investments occur in already established companies in a later phase of financing. The companies at this stage are searching for the possibilities of a change in capital structure, change in management and possible financial turnarounds. Buyout investments are usually conducted by PE investors taking on large amount of leverage (LBOs).</w:t>
      </w:r>
    </w:p>
    <w:p w:rsidR="00A15325" w:rsidRDefault="00A15325" w:rsidP="00A15325">
      <w:pPr>
        <w:pStyle w:val="Default"/>
        <w:ind w:firstLine="720"/>
        <w:rPr>
          <w:rFonts w:ascii="Times" w:eastAsia="Times" w:hAnsi="Times" w:cs="Times"/>
          <w:sz w:val="24"/>
          <w:szCs w:val="24"/>
        </w:rPr>
      </w:pPr>
      <w:proofErr w:type="spellStart"/>
      <w:r>
        <w:rPr>
          <w:rFonts w:ascii="Times New Roman"/>
          <w:sz w:val="24"/>
          <w:szCs w:val="24"/>
        </w:rPr>
        <w:t>Fama</w:t>
      </w:r>
      <w:proofErr w:type="spellEnd"/>
      <w:r>
        <w:rPr>
          <w:rFonts w:ascii="Times New Roman"/>
          <w:sz w:val="24"/>
          <w:szCs w:val="24"/>
        </w:rPr>
        <w:t xml:space="preserve"> and French (1992) show that </w:t>
      </w:r>
      <w:proofErr w:type="gramStart"/>
      <w:r>
        <w:rPr>
          <w:rFonts w:ascii="Times New Roman"/>
          <w:sz w:val="24"/>
          <w:szCs w:val="24"/>
        </w:rPr>
        <w:t>returns</w:t>
      </w:r>
      <w:proofErr w:type="gramEnd"/>
      <w:r>
        <w:rPr>
          <w:rFonts w:ascii="Times New Roman"/>
          <w:sz w:val="24"/>
          <w:szCs w:val="24"/>
        </w:rPr>
        <w:t xml:space="preserve"> from investing in small, public companies are notably different from returns of larger companies. Empirical evidence for PE </w:t>
      </w:r>
      <w:proofErr w:type="gramStart"/>
      <w:r>
        <w:rPr>
          <w:rFonts w:ascii="Times New Roman"/>
          <w:sz w:val="24"/>
          <w:szCs w:val="24"/>
        </w:rPr>
        <w:t>are</w:t>
      </w:r>
      <w:proofErr w:type="gramEnd"/>
      <w:r>
        <w:rPr>
          <w:rFonts w:ascii="Times New Roman"/>
          <w:sz w:val="24"/>
          <w:szCs w:val="24"/>
        </w:rPr>
        <w:t xml:space="preserve">, however, inconsistent in this manner. </w:t>
      </w:r>
      <w:proofErr w:type="spellStart"/>
      <w:r>
        <w:rPr>
          <w:rFonts w:ascii="Times New Roman"/>
          <w:sz w:val="24"/>
          <w:szCs w:val="24"/>
        </w:rPr>
        <w:t>Ljungqvist</w:t>
      </w:r>
      <w:proofErr w:type="spellEnd"/>
      <w:r>
        <w:rPr>
          <w:rFonts w:ascii="Times New Roman"/>
          <w:sz w:val="24"/>
          <w:szCs w:val="24"/>
        </w:rPr>
        <w:t xml:space="preserve"> and Richardson (2003) extend the analysis of </w:t>
      </w:r>
      <w:proofErr w:type="spellStart"/>
      <w:r>
        <w:rPr>
          <w:rFonts w:ascii="Times New Roman"/>
          <w:sz w:val="24"/>
          <w:szCs w:val="24"/>
        </w:rPr>
        <w:t>Fama</w:t>
      </w:r>
      <w:proofErr w:type="spellEnd"/>
      <w:r>
        <w:rPr>
          <w:rFonts w:ascii="Times New Roman"/>
          <w:sz w:val="24"/>
          <w:szCs w:val="24"/>
        </w:rPr>
        <w:t xml:space="preserve"> and French (1992) by comparing venture capital funds and buyout funds and find that on average buyout funds received a return of 7.7 percent higher return that venture capital funds. Alternatively, Kaplan and Scholar (2005) report a positive premium over S&amp;P 500 for venture rather than buyout funds.</w:t>
      </w:r>
    </w:p>
    <w:p w:rsidR="00A15325" w:rsidRDefault="00A15325" w:rsidP="00A15325">
      <w:pPr>
        <w:pStyle w:val="Default"/>
        <w:ind w:firstLine="720"/>
        <w:rPr>
          <w:rFonts w:ascii="Times" w:eastAsia="Times" w:hAnsi="Times" w:cs="Times"/>
          <w:sz w:val="24"/>
          <w:szCs w:val="24"/>
        </w:rPr>
      </w:pPr>
      <w:r>
        <w:rPr>
          <w:rFonts w:ascii="Times New Roman"/>
          <w:sz w:val="24"/>
          <w:szCs w:val="24"/>
        </w:rPr>
        <w:t xml:space="preserve">Several main forms of exiting PE investments exist. Kaplan &amp; </w:t>
      </w:r>
      <w:proofErr w:type="spellStart"/>
      <w:r>
        <w:rPr>
          <w:rFonts w:ascii="Times New Roman"/>
          <w:sz w:val="24"/>
          <w:szCs w:val="24"/>
        </w:rPr>
        <w:t>Str</w:t>
      </w:r>
      <w:r>
        <w:rPr>
          <w:rFonts w:hAnsi="Times New Roman"/>
          <w:sz w:val="24"/>
          <w:szCs w:val="24"/>
        </w:rPr>
        <w:t>ö</w:t>
      </w:r>
      <w:r>
        <w:rPr>
          <w:rFonts w:ascii="Times New Roman"/>
          <w:sz w:val="24"/>
          <w:szCs w:val="24"/>
        </w:rPr>
        <w:t>mberg</w:t>
      </w:r>
      <w:proofErr w:type="spellEnd"/>
      <w:r>
        <w:rPr>
          <w:rFonts w:ascii="Times New Roman"/>
          <w:sz w:val="24"/>
          <w:szCs w:val="24"/>
        </w:rPr>
        <w:t xml:space="preserve"> (2009) indicate a sale to a specific, strategic investors (38% of cases) as the most common exit route for PE investors, followed by a sale to another PE investors or conducting a secondary leveraged buyout (24% of cases) and IPO (14% of cases). These have significantly changed over history, while IPO heavily decrease in popularity. Additionally, historical median investment holding period is roughly six years and the term orientation of PE funds seems to have changed recently to more short-term investments.</w:t>
      </w:r>
    </w:p>
    <w:p w:rsidR="00A15325" w:rsidRDefault="00A15325" w:rsidP="00A15325">
      <w:pPr>
        <w:pStyle w:val="Default"/>
        <w:ind w:firstLine="720"/>
        <w:rPr>
          <w:rFonts w:ascii="Times" w:eastAsia="Times" w:hAnsi="Times" w:cs="Times"/>
          <w:sz w:val="24"/>
          <w:szCs w:val="24"/>
        </w:rPr>
      </w:pPr>
      <w:r>
        <w:rPr>
          <w:rFonts w:ascii="Times New Roman"/>
          <w:sz w:val="24"/>
          <w:szCs w:val="24"/>
        </w:rPr>
        <w:t xml:space="preserve">Because of the unique characteristics that PE as an asset class has, evaluating the performance of PE funds, especially on risk-adjusted basis, tends to be challenging. </w:t>
      </w:r>
      <w:r>
        <w:rPr>
          <w:rFonts w:hAnsi="Times New Roman"/>
          <w:sz w:val="24"/>
          <w:szCs w:val="24"/>
        </w:rPr>
        <w:t> </w:t>
      </w:r>
      <w:r>
        <w:rPr>
          <w:rFonts w:ascii="Times New Roman"/>
          <w:sz w:val="24"/>
          <w:szCs w:val="24"/>
        </w:rPr>
        <w:t xml:space="preserve">Soderblom (2011) gives five reasons for this. Firstly, limited transparency requirements indicate that public data are available only by specific databases (Thompson Venture Economics, Dow Jones) and are based on voluntary reporting. Secondly, the reporting of such data is inconsistent and often </w:t>
      </w:r>
      <w:r>
        <w:rPr>
          <w:rFonts w:ascii="Times New Roman"/>
          <w:sz w:val="24"/>
          <w:szCs w:val="24"/>
        </w:rPr>
        <w:lastRenderedPageBreak/>
        <w:t xml:space="preserve">confusing (e.g. unclear whether reported returns are net or gross). Thirdly, subjectivity in terms of account treatment and choice whether to report specific investments introduces potential bias in the results. This leads to systematic biases regarding reporting of interim IRRs (Cumming, D. &amp; </w:t>
      </w:r>
      <w:proofErr w:type="spellStart"/>
      <w:r>
        <w:rPr>
          <w:rFonts w:ascii="Times New Roman"/>
          <w:sz w:val="24"/>
          <w:szCs w:val="24"/>
        </w:rPr>
        <w:t>Walz</w:t>
      </w:r>
      <w:proofErr w:type="spellEnd"/>
      <w:r>
        <w:rPr>
          <w:rFonts w:ascii="Times New Roman"/>
          <w:sz w:val="24"/>
          <w:szCs w:val="24"/>
        </w:rPr>
        <w:t>, U., 2010). Fourthly, a short history of PE as an asset class means that a lack of useful and compare data are lacking. Lastly, return analysis is not very informative without a complete understanding of risk associated with these returns.</w:t>
      </w:r>
    </w:p>
    <w:p w:rsidR="00A15325" w:rsidRDefault="00A15325" w:rsidP="00A15325">
      <w:pPr>
        <w:pStyle w:val="Default"/>
        <w:ind w:firstLine="720"/>
        <w:rPr>
          <w:rFonts w:ascii="Times" w:eastAsia="Times" w:hAnsi="Times" w:cs="Times"/>
          <w:sz w:val="24"/>
          <w:szCs w:val="24"/>
        </w:rPr>
      </w:pPr>
      <w:r>
        <w:rPr>
          <w:rFonts w:ascii="Times New Roman"/>
          <w:sz w:val="24"/>
          <w:szCs w:val="24"/>
        </w:rPr>
        <w:t xml:space="preserve">Most PE funds are </w:t>
      </w:r>
      <w:proofErr w:type="spellStart"/>
      <w:r>
        <w:rPr>
          <w:rFonts w:ascii="Times New Roman"/>
          <w:sz w:val="24"/>
          <w:szCs w:val="24"/>
        </w:rPr>
        <w:t>organised</w:t>
      </w:r>
      <w:proofErr w:type="spellEnd"/>
      <w:r>
        <w:rPr>
          <w:rFonts w:ascii="Times New Roman"/>
          <w:sz w:val="24"/>
          <w:szCs w:val="24"/>
        </w:rPr>
        <w:t xml:space="preserve"> in the form of limited partnerships. In this legal structure, limited partners provide capital while general partners decide on the fund</w:t>
      </w:r>
      <w:r>
        <w:rPr>
          <w:rFonts w:hAnsi="Times New Roman"/>
          <w:sz w:val="24"/>
          <w:szCs w:val="24"/>
          <w:lang w:val="fr-FR"/>
        </w:rPr>
        <w:t>’</w:t>
      </w:r>
      <w:r>
        <w:rPr>
          <w:rFonts w:ascii="Times New Roman"/>
          <w:sz w:val="24"/>
          <w:szCs w:val="24"/>
        </w:rPr>
        <w:t xml:space="preserve">s investment policy. Limited partners earn a return on their investment while managers collect investing and monitoring fees and might be entitled to payoff in case of successful fund performance. A typical fund has a life of approximately 10 years. While empirical evidence suggests that PE firms create value, it is not clear that they earn superior returns for their limited partners (Kaplan, S. N., &amp; </w:t>
      </w:r>
      <w:proofErr w:type="spellStart"/>
      <w:r>
        <w:rPr>
          <w:rFonts w:ascii="Times New Roman"/>
          <w:sz w:val="24"/>
          <w:szCs w:val="24"/>
        </w:rPr>
        <w:t>Str</w:t>
      </w:r>
      <w:r>
        <w:rPr>
          <w:rFonts w:hAnsi="Times New Roman"/>
          <w:sz w:val="24"/>
          <w:szCs w:val="24"/>
        </w:rPr>
        <w:t>ö</w:t>
      </w:r>
      <w:r>
        <w:rPr>
          <w:rFonts w:ascii="Times New Roman"/>
          <w:sz w:val="24"/>
          <w:szCs w:val="24"/>
        </w:rPr>
        <w:t>mberg</w:t>
      </w:r>
      <w:proofErr w:type="spellEnd"/>
      <w:r>
        <w:rPr>
          <w:rFonts w:ascii="Times New Roman"/>
          <w:sz w:val="24"/>
          <w:szCs w:val="24"/>
        </w:rPr>
        <w:t>, P.</w:t>
      </w:r>
      <w:proofErr w:type="gramStart"/>
      <w:r>
        <w:rPr>
          <w:rFonts w:ascii="Times New Roman"/>
          <w:sz w:val="24"/>
          <w:szCs w:val="24"/>
        </w:rPr>
        <w:t>,2009</w:t>
      </w:r>
      <w:proofErr w:type="gramEnd"/>
      <w:r>
        <w:rPr>
          <w:rFonts w:ascii="Times New Roman"/>
          <w:sz w:val="24"/>
          <w:szCs w:val="24"/>
        </w:rPr>
        <w:t>).</w:t>
      </w:r>
    </w:p>
    <w:p w:rsidR="00A15325" w:rsidRDefault="00A15325" w:rsidP="00A15325">
      <w:pPr>
        <w:pStyle w:val="Default"/>
        <w:ind w:firstLine="720"/>
        <w:rPr>
          <w:rFonts w:ascii="Times" w:eastAsia="Times" w:hAnsi="Times" w:cs="Times"/>
          <w:sz w:val="24"/>
          <w:szCs w:val="24"/>
        </w:rPr>
      </w:pPr>
      <w:r>
        <w:rPr>
          <w:rFonts w:ascii="Times New Roman"/>
          <w:sz w:val="24"/>
          <w:szCs w:val="24"/>
        </w:rPr>
        <w:t xml:space="preserve">There are two prevailing methods in evaluating performance of funds </w:t>
      </w:r>
      <w:proofErr w:type="spellStart"/>
      <w:r>
        <w:rPr>
          <w:rFonts w:ascii="Times New Roman"/>
          <w:sz w:val="24"/>
          <w:szCs w:val="24"/>
        </w:rPr>
        <w:t>organised</w:t>
      </w:r>
      <w:proofErr w:type="spellEnd"/>
      <w:r>
        <w:rPr>
          <w:rFonts w:ascii="Times New Roman"/>
          <w:sz w:val="24"/>
          <w:szCs w:val="24"/>
        </w:rPr>
        <w:t xml:space="preserve"> as limited partnerships. First focuses on </w:t>
      </w:r>
      <w:proofErr w:type="spellStart"/>
      <w:r>
        <w:rPr>
          <w:rFonts w:ascii="Times New Roman"/>
          <w:sz w:val="24"/>
          <w:szCs w:val="24"/>
        </w:rPr>
        <w:t>analysing</w:t>
      </w:r>
      <w:proofErr w:type="spellEnd"/>
      <w:r>
        <w:rPr>
          <w:rFonts w:ascii="Times New Roman"/>
          <w:sz w:val="24"/>
          <w:szCs w:val="24"/>
        </w:rPr>
        <w:t xml:space="preserve"> PE data on a company level by evaluating returns from each of the portfolio companies individually. There are two important advantages for using company level data. Firstly, the number of companies is larger than the number of funds thus allowing for more statistical power. Secondly, these </w:t>
      </w:r>
      <w:proofErr w:type="gramStart"/>
      <w:r>
        <w:rPr>
          <w:rFonts w:ascii="Times New Roman"/>
          <w:sz w:val="24"/>
          <w:szCs w:val="24"/>
        </w:rPr>
        <w:t>type</w:t>
      </w:r>
      <w:proofErr w:type="gramEnd"/>
      <w:r>
        <w:rPr>
          <w:rFonts w:ascii="Times New Roman"/>
          <w:sz w:val="24"/>
          <w:szCs w:val="24"/>
        </w:rPr>
        <w:t xml:space="preserve"> of investments have well defined returns if intermediate cash flows are absent. On the other hand, </w:t>
      </w:r>
      <w:proofErr w:type="gramStart"/>
      <w:r>
        <w:rPr>
          <w:rFonts w:ascii="Times New Roman"/>
          <w:sz w:val="24"/>
          <w:szCs w:val="24"/>
        </w:rPr>
        <w:t>analysis of these returns tend</w:t>
      </w:r>
      <w:proofErr w:type="gramEnd"/>
      <w:r>
        <w:rPr>
          <w:rFonts w:ascii="Times New Roman"/>
          <w:sz w:val="24"/>
          <w:szCs w:val="24"/>
        </w:rPr>
        <w:t xml:space="preserve"> to be inconsistent in terms of whether they include or exclude management fees. Additionally, these returns tend be heavily affected by sample selection bias, since datasets for capital raising firms are dominated by better-performing firms and distressed companies tend to be left as shell companies rather than liquidated.</w:t>
      </w:r>
    </w:p>
    <w:p w:rsidR="00A15325" w:rsidRDefault="00A15325" w:rsidP="00A15325">
      <w:pPr>
        <w:pStyle w:val="Default"/>
        <w:ind w:firstLine="720"/>
        <w:rPr>
          <w:rFonts w:ascii="Times" w:eastAsia="Times" w:hAnsi="Times" w:cs="Times"/>
          <w:sz w:val="24"/>
          <w:szCs w:val="24"/>
        </w:rPr>
      </w:pPr>
      <w:r>
        <w:rPr>
          <w:rFonts w:ascii="Times New Roman"/>
          <w:sz w:val="24"/>
          <w:szCs w:val="24"/>
        </w:rPr>
        <w:t xml:space="preserve">Empirically, PE performance using company level data tends to be inconsistent. </w:t>
      </w:r>
      <w:proofErr w:type="gramStart"/>
      <w:r>
        <w:rPr>
          <w:rFonts w:ascii="Times New Roman"/>
          <w:sz w:val="24"/>
          <w:szCs w:val="24"/>
        </w:rPr>
        <w:t xml:space="preserve">While </w:t>
      </w:r>
      <w:proofErr w:type="spellStart"/>
      <w:r>
        <w:rPr>
          <w:rFonts w:ascii="Times New Roman"/>
          <w:sz w:val="24"/>
          <w:szCs w:val="24"/>
        </w:rPr>
        <w:t>Gro</w:t>
      </w:r>
      <w:proofErr w:type="spellEnd"/>
      <w:r>
        <w:rPr>
          <w:rFonts w:ascii="Times New Roman"/>
          <w:sz w:val="24"/>
          <w:szCs w:val="24"/>
        </w:rPr>
        <w:t xml:space="preserve"> and </w:t>
      </w:r>
      <w:proofErr w:type="spellStart"/>
      <w:r>
        <w:rPr>
          <w:rFonts w:ascii="Times New Roman"/>
          <w:sz w:val="24"/>
          <w:szCs w:val="24"/>
        </w:rPr>
        <w:t>Gottschalg</w:t>
      </w:r>
      <w:proofErr w:type="spellEnd"/>
      <w:r>
        <w:rPr>
          <w:rFonts w:ascii="Times New Roman"/>
          <w:sz w:val="24"/>
          <w:szCs w:val="24"/>
        </w:rPr>
        <w:t xml:space="preserve"> (2008) find positive and significant alphas (abnormal returns) for buyout investments in US over </w:t>
      </w:r>
      <w:proofErr w:type="spellStart"/>
      <w:r>
        <w:rPr>
          <w:rFonts w:ascii="Times New Roman"/>
          <w:sz w:val="24"/>
          <w:szCs w:val="24"/>
        </w:rPr>
        <w:t>SnP</w:t>
      </w:r>
      <w:proofErr w:type="spellEnd"/>
      <w:r>
        <w:rPr>
          <w:rFonts w:ascii="Times New Roman"/>
          <w:sz w:val="24"/>
          <w:szCs w:val="24"/>
        </w:rPr>
        <w:t xml:space="preserve"> between 1984 and 2004 (Soderblom, A., 2011).</w:t>
      </w:r>
      <w:proofErr w:type="gramEnd"/>
      <w:r>
        <w:rPr>
          <w:rFonts w:ascii="Times New Roman"/>
          <w:sz w:val="24"/>
          <w:szCs w:val="24"/>
        </w:rPr>
        <w:t xml:space="preserve"> Similarly, </w:t>
      </w:r>
      <w:proofErr w:type="spellStart"/>
      <w:r>
        <w:rPr>
          <w:rFonts w:ascii="Times New Roman"/>
          <w:sz w:val="24"/>
          <w:szCs w:val="24"/>
        </w:rPr>
        <w:t>Ljungqvist</w:t>
      </w:r>
      <w:proofErr w:type="spellEnd"/>
      <w:r>
        <w:rPr>
          <w:rFonts w:ascii="Times New Roman"/>
          <w:sz w:val="24"/>
          <w:szCs w:val="24"/>
        </w:rPr>
        <w:t xml:space="preserve"> and Richardson (2003) find a 5%-6% premium for VC investments and betas of 1.08 for buyout and 1.12 for VC investments by using large public companies in the same industry as a proxy (</w:t>
      </w:r>
      <w:proofErr w:type="spellStart"/>
      <w:r>
        <w:rPr>
          <w:rFonts w:ascii="Times New Roman"/>
          <w:sz w:val="24"/>
          <w:szCs w:val="24"/>
        </w:rPr>
        <w:t>Ang</w:t>
      </w:r>
      <w:proofErr w:type="spellEnd"/>
      <w:r>
        <w:rPr>
          <w:rFonts w:ascii="Times New Roman"/>
          <w:sz w:val="24"/>
          <w:szCs w:val="24"/>
        </w:rPr>
        <w:t>, A. &amp; Sorensen, M., 2012). Jones and Rhodes-</w:t>
      </w:r>
      <w:proofErr w:type="spellStart"/>
      <w:r>
        <w:rPr>
          <w:rFonts w:ascii="Times New Roman"/>
          <w:sz w:val="24"/>
          <w:szCs w:val="24"/>
        </w:rPr>
        <w:t>Kropf</w:t>
      </w:r>
      <w:proofErr w:type="spellEnd"/>
      <w:r>
        <w:rPr>
          <w:rFonts w:ascii="Times New Roman"/>
          <w:sz w:val="24"/>
          <w:szCs w:val="24"/>
        </w:rPr>
        <w:t xml:space="preserve"> (2003), however, do not find any abnormal returns for 1245 US-based PE and VC funds using cash flows (Soderblom, A., 2011). </w:t>
      </w:r>
      <w:proofErr w:type="spellStart"/>
      <w:r>
        <w:rPr>
          <w:rFonts w:ascii="Times New Roman"/>
          <w:sz w:val="24"/>
          <w:szCs w:val="24"/>
        </w:rPr>
        <w:t>Philippou</w:t>
      </w:r>
      <w:proofErr w:type="spellEnd"/>
      <w:r>
        <w:rPr>
          <w:rFonts w:ascii="Times New Roman"/>
          <w:sz w:val="24"/>
          <w:szCs w:val="24"/>
        </w:rPr>
        <w:t xml:space="preserve"> and </w:t>
      </w:r>
      <w:proofErr w:type="spellStart"/>
      <w:r>
        <w:rPr>
          <w:rFonts w:ascii="Times New Roman"/>
          <w:sz w:val="24"/>
          <w:szCs w:val="24"/>
        </w:rPr>
        <w:t>Gottschalg</w:t>
      </w:r>
      <w:proofErr w:type="spellEnd"/>
      <w:r>
        <w:rPr>
          <w:rFonts w:ascii="Times New Roman"/>
          <w:sz w:val="24"/>
          <w:szCs w:val="24"/>
        </w:rPr>
        <w:t xml:space="preserve"> (2009) even show that VC and BO fund returns lag behind S&amp;P 500 by as much as 3% (Soderblom, A., 2011).</w:t>
      </w:r>
    </w:p>
    <w:p w:rsidR="00A15325" w:rsidRDefault="00A15325" w:rsidP="00A15325">
      <w:pPr>
        <w:pStyle w:val="Default"/>
        <w:ind w:firstLine="720"/>
        <w:rPr>
          <w:rFonts w:ascii="Times" w:eastAsia="Times" w:hAnsi="Times" w:cs="Times"/>
          <w:sz w:val="24"/>
          <w:szCs w:val="24"/>
        </w:rPr>
      </w:pPr>
      <w:r>
        <w:rPr>
          <w:rFonts w:ascii="Times New Roman"/>
          <w:sz w:val="24"/>
          <w:szCs w:val="24"/>
        </w:rPr>
        <w:t xml:space="preserve">Second method for evaluating performance of limited partnership funds focuses on data that is obtained from evaluating the funds themselves. This type of data is usually obtained from limited partners who have invested in several PE funds. In most cases it tries to capture the cash flow streams towards the limited partners (Soderblom, A., 2011). There are two main advantages for these </w:t>
      </w:r>
      <w:proofErr w:type="gramStart"/>
      <w:r>
        <w:rPr>
          <w:rFonts w:ascii="Times New Roman"/>
          <w:sz w:val="24"/>
          <w:szCs w:val="24"/>
        </w:rPr>
        <w:t>type</w:t>
      </w:r>
      <w:proofErr w:type="gramEnd"/>
      <w:r>
        <w:rPr>
          <w:rFonts w:ascii="Times New Roman"/>
          <w:sz w:val="24"/>
          <w:szCs w:val="24"/>
        </w:rPr>
        <w:t xml:space="preserve"> of funds. Firstly, the data reported is the actual return received by limited partners or the net of fees and, secondly, the sample selection for the data is smaller. On the other hand, the fact that fund-level performance is self-</w:t>
      </w:r>
      <w:proofErr w:type="gramStart"/>
      <w:r>
        <w:rPr>
          <w:rFonts w:ascii="Times New Roman"/>
          <w:sz w:val="24"/>
          <w:szCs w:val="24"/>
        </w:rPr>
        <w:t>reported,</w:t>
      </w:r>
      <w:proofErr w:type="gramEnd"/>
      <w:r>
        <w:rPr>
          <w:rFonts w:ascii="Times New Roman"/>
          <w:sz w:val="24"/>
          <w:szCs w:val="24"/>
        </w:rPr>
        <w:t xml:space="preserve"> can cause self-selection bias to arise. Furthermore, net asset value, which is used as a proxy for market value in most methods, is a noisy substitute for the actual value at best. The alternative fund-level methods such as internal rate of return (effective compounded rate of return), total value paid-in capital multiple (total amount of capital returned over total invested amount) or public market equivalent (present value of all cash distributions over take-downs from PE investors) all are proxies for the actual return (</w:t>
      </w:r>
      <w:proofErr w:type="spellStart"/>
      <w:r>
        <w:rPr>
          <w:rFonts w:ascii="Times New Roman"/>
          <w:sz w:val="24"/>
          <w:szCs w:val="24"/>
        </w:rPr>
        <w:t>Ang</w:t>
      </w:r>
      <w:proofErr w:type="spellEnd"/>
      <w:r>
        <w:rPr>
          <w:rFonts w:ascii="Times New Roman"/>
          <w:sz w:val="24"/>
          <w:szCs w:val="24"/>
        </w:rPr>
        <w:t>, A. &amp; Sorensen, M., 2012).</w:t>
      </w:r>
    </w:p>
    <w:p w:rsidR="00A15325" w:rsidRDefault="00A15325" w:rsidP="00A15325">
      <w:pPr>
        <w:pStyle w:val="Default"/>
        <w:ind w:firstLine="720"/>
        <w:rPr>
          <w:rFonts w:ascii="Times" w:eastAsia="Times" w:hAnsi="Times" w:cs="Times"/>
          <w:sz w:val="24"/>
          <w:szCs w:val="24"/>
        </w:rPr>
      </w:pPr>
      <w:r>
        <w:rPr>
          <w:rFonts w:ascii="Times New Roman"/>
          <w:sz w:val="24"/>
          <w:szCs w:val="24"/>
        </w:rPr>
        <w:lastRenderedPageBreak/>
        <w:t xml:space="preserve">Empirical evidence using fund level data is similar to company level data. A study made by Harris, Jenkinson and Kaplan (2011) which </w:t>
      </w:r>
      <w:proofErr w:type="spellStart"/>
      <w:r>
        <w:rPr>
          <w:rFonts w:ascii="Times New Roman"/>
          <w:sz w:val="24"/>
          <w:szCs w:val="24"/>
        </w:rPr>
        <w:t>summarises</w:t>
      </w:r>
      <w:proofErr w:type="spellEnd"/>
      <w:r>
        <w:rPr>
          <w:rFonts w:ascii="Times New Roman"/>
          <w:sz w:val="24"/>
          <w:szCs w:val="24"/>
        </w:rPr>
        <w:t xml:space="preserve"> various academic studies regarding fund-level performance find the reported average IRRs for PE funds to be between 12.3% and 16.9% for buyout and 11.7% and 19.3% for VC (</w:t>
      </w:r>
      <w:proofErr w:type="spellStart"/>
      <w:r>
        <w:rPr>
          <w:rFonts w:ascii="Times New Roman"/>
          <w:sz w:val="24"/>
          <w:szCs w:val="24"/>
        </w:rPr>
        <w:t>Ang</w:t>
      </w:r>
      <w:proofErr w:type="spellEnd"/>
      <w:r>
        <w:rPr>
          <w:rFonts w:ascii="Times New Roman"/>
          <w:sz w:val="24"/>
          <w:szCs w:val="24"/>
        </w:rPr>
        <w:t xml:space="preserve">, A. &amp; Sorensen, M., 2012). </w:t>
      </w:r>
      <w:proofErr w:type="spellStart"/>
      <w:r>
        <w:rPr>
          <w:rFonts w:ascii="Times New Roman"/>
          <w:sz w:val="24"/>
          <w:szCs w:val="24"/>
        </w:rPr>
        <w:t>Ljungqvist</w:t>
      </w:r>
      <w:proofErr w:type="spellEnd"/>
      <w:r>
        <w:rPr>
          <w:rFonts w:ascii="Times New Roman"/>
          <w:sz w:val="24"/>
          <w:szCs w:val="24"/>
        </w:rPr>
        <w:t xml:space="preserve"> and Richardson (2003) report abnormal returns by estimating average IRRs to have a premium of 5.71% over </w:t>
      </w:r>
      <w:proofErr w:type="spellStart"/>
      <w:r>
        <w:rPr>
          <w:rFonts w:ascii="Times New Roman"/>
          <w:sz w:val="24"/>
          <w:szCs w:val="24"/>
        </w:rPr>
        <w:t>SnP</w:t>
      </w:r>
      <w:proofErr w:type="spellEnd"/>
      <w:r>
        <w:rPr>
          <w:rFonts w:ascii="Times New Roman"/>
          <w:sz w:val="24"/>
          <w:szCs w:val="24"/>
        </w:rPr>
        <w:t xml:space="preserve"> 500 for a combination of VC and buyout funds. Kaplan and Scholar (2005), however, use fund level performance estimates </w:t>
      </w:r>
      <w:proofErr w:type="spellStart"/>
      <w:r>
        <w:rPr>
          <w:rFonts w:ascii="Times New Roman"/>
          <w:sz w:val="24"/>
          <w:szCs w:val="24"/>
        </w:rPr>
        <w:t>analysing</w:t>
      </w:r>
      <w:proofErr w:type="spellEnd"/>
      <w:r>
        <w:rPr>
          <w:rFonts w:ascii="Times New Roman"/>
          <w:sz w:val="24"/>
          <w:szCs w:val="24"/>
        </w:rPr>
        <w:t xml:space="preserve"> more than 1000 VC and PE funds and find that they generate returns slightly underperform S&amp;P 500 Index using equal-weighted basis and slightly over perform the index when using value-weighted basis for liquidated funds (</w:t>
      </w:r>
      <w:proofErr w:type="spellStart"/>
      <w:r>
        <w:rPr>
          <w:rFonts w:ascii="Times New Roman"/>
          <w:sz w:val="24"/>
          <w:szCs w:val="24"/>
        </w:rPr>
        <w:t>Ang</w:t>
      </w:r>
      <w:proofErr w:type="spellEnd"/>
      <w:r>
        <w:rPr>
          <w:rFonts w:ascii="Times New Roman"/>
          <w:sz w:val="24"/>
          <w:szCs w:val="24"/>
        </w:rPr>
        <w:t>, A. &amp; Sorensen, M., 2012). Chen et al. (2002) find that between 1969 and 2000 average annual IRRs of 10%, yet varying between 74% and -72% (Soderblom, A., 2011).</w:t>
      </w:r>
    </w:p>
    <w:p w:rsidR="00A15325" w:rsidRDefault="00A15325" w:rsidP="00A15325">
      <w:pPr>
        <w:pStyle w:val="Default"/>
        <w:ind w:firstLine="720"/>
        <w:rPr>
          <w:rFonts w:ascii="Times" w:eastAsia="Times" w:hAnsi="Times" w:cs="Times"/>
          <w:sz w:val="24"/>
          <w:szCs w:val="24"/>
        </w:rPr>
      </w:pPr>
      <w:r>
        <w:rPr>
          <w:rFonts w:ascii="Times New Roman"/>
          <w:sz w:val="24"/>
          <w:szCs w:val="24"/>
        </w:rPr>
        <w:t xml:space="preserve">When using public market equivalents (PME), Kaplan and Scholar (2005) claim that private equity investments with equal betas lead to positive economic return for investors if PME for funds is greater than one. They, however, find average equal-weighted market equivalents of only 0.93 for buyout funds, yet 1.21 for VC funds. Similarly, </w:t>
      </w:r>
      <w:proofErr w:type="spellStart"/>
      <w:r>
        <w:rPr>
          <w:rFonts w:ascii="Times New Roman"/>
          <w:sz w:val="24"/>
          <w:szCs w:val="24"/>
        </w:rPr>
        <w:t>Phalippou</w:t>
      </w:r>
      <w:proofErr w:type="spellEnd"/>
      <w:r>
        <w:rPr>
          <w:rFonts w:ascii="Times New Roman"/>
          <w:sz w:val="24"/>
          <w:szCs w:val="24"/>
        </w:rPr>
        <w:t xml:space="preserve"> and </w:t>
      </w:r>
      <w:proofErr w:type="spellStart"/>
      <w:r>
        <w:rPr>
          <w:rFonts w:ascii="Times New Roman"/>
          <w:sz w:val="24"/>
          <w:szCs w:val="24"/>
        </w:rPr>
        <w:t>Gottschalg</w:t>
      </w:r>
      <w:proofErr w:type="spellEnd"/>
      <w:r>
        <w:rPr>
          <w:rFonts w:ascii="Times New Roman"/>
          <w:sz w:val="24"/>
          <w:szCs w:val="24"/>
        </w:rPr>
        <w:t xml:space="preserve"> (2009) using 852 funds find an average PME of 0.88 after introducing various adjustments. Harris, Jenkinson and Kaplan (2011) </w:t>
      </w:r>
      <w:proofErr w:type="spellStart"/>
      <w:r>
        <w:rPr>
          <w:rFonts w:ascii="Times New Roman"/>
          <w:sz w:val="24"/>
          <w:szCs w:val="24"/>
        </w:rPr>
        <w:t>summarise</w:t>
      </w:r>
      <w:proofErr w:type="spellEnd"/>
      <w:r>
        <w:rPr>
          <w:rFonts w:ascii="Times New Roman"/>
          <w:sz w:val="24"/>
          <w:szCs w:val="24"/>
        </w:rPr>
        <w:t xml:space="preserve"> several researches and report average estimated PMEs for buyout to be between 1.16 and 1.27 for buyout and 1.02 </w:t>
      </w:r>
      <w:r>
        <w:rPr>
          <w:rFonts w:hAnsi="Times New Roman"/>
          <w:sz w:val="24"/>
          <w:szCs w:val="24"/>
        </w:rPr>
        <w:t>–</w:t>
      </w:r>
      <w:r>
        <w:rPr>
          <w:rFonts w:hAnsi="Times New Roman"/>
          <w:sz w:val="24"/>
          <w:szCs w:val="24"/>
        </w:rPr>
        <w:t xml:space="preserve"> </w:t>
      </w:r>
      <w:r>
        <w:rPr>
          <w:rFonts w:ascii="Times New Roman"/>
          <w:sz w:val="24"/>
          <w:szCs w:val="24"/>
        </w:rPr>
        <w:t>1.45 for VC funds (Sorensen, A. 2012).</w:t>
      </w:r>
    </w:p>
    <w:p w:rsidR="00A15325" w:rsidRDefault="00A15325" w:rsidP="00A15325">
      <w:pPr>
        <w:pStyle w:val="Default"/>
        <w:ind w:firstLine="720"/>
      </w:pPr>
      <w:r>
        <w:rPr>
          <w:rFonts w:ascii="Times New Roman"/>
          <w:sz w:val="24"/>
          <w:szCs w:val="24"/>
        </w:rPr>
        <w:t>Overall, when estimating the performance of limited partnership PE funds, studies are inconsistent regarding whether PE funds do in fact lead to increased value for investors. (</w:t>
      </w:r>
      <w:proofErr w:type="spellStart"/>
      <w:r>
        <w:rPr>
          <w:rFonts w:ascii="Times New Roman"/>
          <w:sz w:val="24"/>
          <w:szCs w:val="24"/>
        </w:rPr>
        <w:t>NEzinu</w:t>
      </w:r>
      <w:proofErr w:type="spellEnd"/>
      <w:r>
        <w:rPr>
          <w:rFonts w:ascii="Times New Roman"/>
          <w:sz w:val="24"/>
          <w:szCs w:val="24"/>
        </w:rPr>
        <w:t xml:space="preserve"> </w:t>
      </w:r>
      <w:proofErr w:type="spellStart"/>
      <w:r>
        <w:rPr>
          <w:rFonts w:ascii="Times New Roman"/>
          <w:sz w:val="24"/>
          <w:szCs w:val="24"/>
        </w:rPr>
        <w:t>kurs</w:t>
      </w:r>
      <w:proofErr w:type="spellEnd"/>
      <w:r>
        <w:rPr>
          <w:rFonts w:ascii="Times New Roman"/>
          <w:sz w:val="24"/>
          <w:szCs w:val="24"/>
        </w:rPr>
        <w:t xml:space="preserve"> article) identify several important disadvantages that investing in limited partnerships face. Firstly, portfolio diversification is extremely limited and depends on GPs capabilities as well as the market characteristics. This also indicates very high minimal amounts of investment required, significantly restricting the audience of PE investments. Secondly, inconstancies in when capital is drawn and returns redistributed tends to create a drag on the returns, as it is unlikely that investors will have more than 50-70% of capital committed to investment actually </w:t>
      </w:r>
      <w:proofErr w:type="spellStart"/>
      <w:r>
        <w:rPr>
          <w:rFonts w:ascii="Times New Roman"/>
          <w:sz w:val="24"/>
          <w:szCs w:val="24"/>
        </w:rPr>
        <w:t>realised</w:t>
      </w:r>
      <w:proofErr w:type="spellEnd"/>
      <w:r>
        <w:rPr>
          <w:rFonts w:ascii="Times New Roman"/>
          <w:sz w:val="24"/>
          <w:szCs w:val="24"/>
        </w:rPr>
        <w:t xml:space="preserve">. Thirdly, because no market prices on investments exist, investors experience difficulties in estimating interim returns on investments. Lastly, liquidity constraints and inability to exercise an early exit from investments is probably the main drawback from investor perspective. Problems such as lack of diversification and returns drag can partially be resolved by investing in funds-of-funds, yet the majority of them remain. </w:t>
      </w:r>
      <w:proofErr w:type="spellStart"/>
      <w:r>
        <w:rPr>
          <w:rFonts w:ascii="Times New Roman"/>
          <w:sz w:val="24"/>
          <w:szCs w:val="24"/>
        </w:rPr>
        <w:t>Kr</w:t>
      </w:r>
      <w:r>
        <w:rPr>
          <w:rFonts w:hAnsi="Times New Roman"/>
          <w:sz w:val="24"/>
          <w:szCs w:val="24"/>
        </w:rPr>
        <w:t>ä</w:t>
      </w:r>
      <w:proofErr w:type="spellEnd"/>
      <w:r>
        <w:rPr>
          <w:rFonts w:ascii="Times New Roman"/>
          <w:sz w:val="24"/>
          <w:szCs w:val="24"/>
          <w:lang w:val="nl-NL"/>
        </w:rPr>
        <w:t xml:space="preserve">ussl, Jegadeesh, </w:t>
      </w:r>
      <w:r>
        <w:rPr>
          <w:rFonts w:ascii="Times New Roman"/>
          <w:sz w:val="24"/>
          <w:szCs w:val="24"/>
        </w:rPr>
        <w:t xml:space="preserve">and </w:t>
      </w:r>
      <w:proofErr w:type="spellStart"/>
      <w:r>
        <w:rPr>
          <w:rFonts w:ascii="Times New Roman"/>
          <w:sz w:val="24"/>
          <w:szCs w:val="24"/>
        </w:rPr>
        <w:t>Pollet</w:t>
      </w:r>
      <w:proofErr w:type="spellEnd"/>
      <w:r>
        <w:rPr>
          <w:rFonts w:ascii="Times New Roman"/>
          <w:sz w:val="24"/>
          <w:szCs w:val="24"/>
        </w:rPr>
        <w:t xml:space="preserve"> (2014) identify that the main problem of investment level data estimation of PE return is the difficulty of determining the intermediate market values of investments.</w:t>
      </w:r>
    </w:p>
    <w:p w:rsidR="00377D73" w:rsidRDefault="00A15325" w:rsidP="00A15325">
      <w:r>
        <w:t xml:space="preserve"> </w:t>
      </w:r>
    </w:p>
    <w:p w:rsidR="00A15325" w:rsidRDefault="00A15325" w:rsidP="00A15325">
      <w:pPr>
        <w:pStyle w:val="Body"/>
        <w:ind w:firstLine="720"/>
        <w:rPr>
          <w:rFonts w:ascii="Times" w:eastAsia="Times" w:hAnsi="Times" w:cs="Times"/>
        </w:rPr>
      </w:pPr>
      <w:r>
        <w:rPr>
          <w:lang w:val="en-US"/>
        </w:rPr>
        <w:t>Listed Private Equity</w:t>
      </w:r>
    </w:p>
    <w:p w:rsidR="00A15325" w:rsidRDefault="00A15325" w:rsidP="00A15325">
      <w:pPr>
        <w:pStyle w:val="Body"/>
        <w:ind w:firstLine="720"/>
        <w:rPr>
          <w:rFonts w:ascii="Times" w:eastAsia="Times" w:hAnsi="Times" w:cs="Times"/>
        </w:rPr>
      </w:pPr>
      <w:r>
        <w:rPr>
          <w:lang w:val="en-US"/>
        </w:rPr>
        <w:t>Listed private equity (LPE) investments are made by purchasing the shares of an entity engaged in private capital investing. The main difference is that sales from investments are reinvested rather than redistributed to investors. There are important advantages of LPE over limited partnership PE. The most important one is liquidity, meaning that investors can always monitor the value of their investments and liquidate them, thus significantly limiting their exposure. This allows smaller investors to use PE to diversify their investments. Additionally, for LPE a limited life of investments does not exist, therefore investors can buy in the fund at any time. This also allows LPE funds to engage longer-term investments and use more flexible investment strategies. Necessity to comply with corporate regulations also means that these investments are more investor friendly and report consistent and less biased data (Brown,</w:t>
      </w:r>
      <w:r>
        <w:t xml:space="preserve"> C. &amp; </w:t>
      </w:r>
      <w:proofErr w:type="spellStart"/>
      <w:r>
        <w:t>Kra</w:t>
      </w:r>
      <w:proofErr w:type="spellEnd"/>
      <w:r>
        <w:rPr>
          <w:rFonts w:hAnsi="Helvetica"/>
        </w:rPr>
        <w:t>̈</w:t>
      </w:r>
      <w:r>
        <w:rPr>
          <w:lang w:val="sv-SE"/>
        </w:rPr>
        <w:t>ussl, R.</w:t>
      </w:r>
      <w:r>
        <w:t>, 2012). Constantinescu (2012)</w:t>
      </w:r>
      <w:r>
        <w:rPr>
          <w:lang w:val="en-US"/>
        </w:rPr>
        <w:t xml:space="preserve"> show</w:t>
      </w:r>
      <w:r>
        <w:t>s</w:t>
      </w:r>
      <w:r>
        <w:rPr>
          <w:lang w:val="en-US"/>
        </w:rPr>
        <w:t xml:space="preserve"> evidence that LPE opens up investments in </w:t>
      </w:r>
      <w:r>
        <w:rPr>
          <w:lang w:val="en-US"/>
        </w:rPr>
        <w:lastRenderedPageBreak/>
        <w:t>private equity to a variety of investors, not just limited partners. Thus, they identify characteristics, such as access, transparency, variety, costs, superior performance and discounts as advantages that confirm LPE to be an attractive investment for pension funds.</w:t>
      </w:r>
    </w:p>
    <w:p w:rsidR="00A15325" w:rsidRDefault="00A15325" w:rsidP="00A15325">
      <w:pPr>
        <w:pStyle w:val="Body"/>
        <w:ind w:firstLine="720"/>
        <w:rPr>
          <w:rFonts w:ascii="Times" w:eastAsia="Times" w:hAnsi="Times" w:cs="Times"/>
        </w:rPr>
      </w:pPr>
      <w:r>
        <w:rPr>
          <w:lang w:val="nl-NL"/>
        </w:rPr>
        <w:t>Jegadeesh</w:t>
      </w:r>
      <w:r>
        <w:t xml:space="preserve"> et al. (</w:t>
      </w:r>
      <w:r>
        <w:rPr>
          <w:lang w:val="en-US"/>
        </w:rPr>
        <w:t>2014) distinguish between listed private equity (LPE) and funds-of-funds (</w:t>
      </w:r>
      <w:proofErr w:type="spellStart"/>
      <w:r>
        <w:rPr>
          <w:lang w:val="en-US"/>
        </w:rPr>
        <w:t>FoF</w:t>
      </w:r>
      <w:proofErr w:type="spellEnd"/>
      <w:r>
        <w:rPr>
          <w:lang w:val="en-US"/>
        </w:rPr>
        <w:t xml:space="preserve">) investments. The former are companies which shares are </w:t>
      </w:r>
      <w:r>
        <w:t>publicly</w:t>
      </w:r>
      <w:r>
        <w:rPr>
          <w:lang w:val="en-US"/>
        </w:rPr>
        <w:t xml:space="preserve"> traded and which main business activity </w:t>
      </w:r>
      <w:proofErr w:type="gramStart"/>
      <w:r>
        <w:rPr>
          <w:lang w:val="en-US"/>
        </w:rPr>
        <w:t>is PE</w:t>
      </w:r>
      <w:proofErr w:type="gramEnd"/>
      <w:r>
        <w:rPr>
          <w:lang w:val="en-US"/>
        </w:rPr>
        <w:t xml:space="preserve"> investing, the latter are specific funds that invest in PE and are also </w:t>
      </w:r>
      <w:r>
        <w:t>publicly</w:t>
      </w:r>
      <w:r>
        <w:rPr>
          <w:lang w:val="en-US"/>
        </w:rPr>
        <w:t xml:space="preserve"> traded. Additionally, they identify that intermediate valuation is easily observable using market prices and allows </w:t>
      </w:r>
      <w:proofErr w:type="gramStart"/>
      <w:r>
        <w:rPr>
          <w:lang w:val="en-US"/>
        </w:rPr>
        <w:t>to extend</w:t>
      </w:r>
      <w:proofErr w:type="gramEnd"/>
      <w:r>
        <w:rPr>
          <w:lang w:val="en-US"/>
        </w:rPr>
        <w:t xml:space="preserve"> the market risk to important characteristics of macro environment.</w:t>
      </w:r>
    </w:p>
    <w:p w:rsidR="00A15325" w:rsidRDefault="00A15325" w:rsidP="00A15325">
      <w:pPr>
        <w:pStyle w:val="Body"/>
        <w:ind w:firstLine="720"/>
        <w:rPr>
          <w:rFonts w:ascii="Times" w:eastAsia="Times" w:hAnsi="Times" w:cs="Times"/>
        </w:rPr>
      </w:pPr>
      <w:r>
        <w:rPr>
          <w:lang w:val="en-US"/>
        </w:rPr>
        <w:t xml:space="preserve">Using empirical analysis, </w:t>
      </w:r>
      <w:proofErr w:type="spellStart"/>
      <w:r>
        <w:rPr>
          <w:lang w:val="en-US"/>
        </w:rPr>
        <w:t>Jegadeesh</w:t>
      </w:r>
      <w:proofErr w:type="spellEnd"/>
      <w:r>
        <w:t xml:space="preserve"> et al. (</w:t>
      </w:r>
      <w:r>
        <w:rPr>
          <w:lang w:val="en-US"/>
        </w:rPr>
        <w:t xml:space="preserve">2014) find evidence that a directly observable market value of the shares is an equivalent of investing as a limited partner in an unlisted PE fund. </w:t>
      </w:r>
      <w:proofErr w:type="spellStart"/>
      <w:r>
        <w:rPr>
          <w:lang w:val="en-US"/>
        </w:rPr>
        <w:t>Phalippou</w:t>
      </w:r>
      <w:proofErr w:type="spellEnd"/>
      <w:r>
        <w:rPr>
          <w:lang w:val="en-US"/>
        </w:rPr>
        <w:t xml:space="preserve"> and </w:t>
      </w:r>
      <w:proofErr w:type="spellStart"/>
      <w:r>
        <w:rPr>
          <w:lang w:val="en-US"/>
        </w:rPr>
        <w:t>Gottschalg</w:t>
      </w:r>
      <w:proofErr w:type="spellEnd"/>
      <w:r>
        <w:rPr>
          <w:lang w:val="en-US"/>
        </w:rPr>
        <w:t xml:space="preserve"> (2009) who show that using various valuations of non-exited funds, the PE actually underperformed market by 3.83 percent </w:t>
      </w:r>
      <w:proofErr w:type="spellStart"/>
      <w:r>
        <w:rPr>
          <w:lang w:val="en-US"/>
        </w:rPr>
        <w:t>Jegadeesh</w:t>
      </w:r>
      <w:proofErr w:type="spellEnd"/>
      <w:r>
        <w:t xml:space="preserve"> et al. (</w:t>
      </w:r>
      <w:r>
        <w:rPr>
          <w:lang w:val="en-US"/>
        </w:rPr>
        <w:t>2009) extend their analysis to LPE. Even though their research suggests that LPE is a good proxy for unlisted private equity, they do not find significant abnormal returns.</w:t>
      </w:r>
    </w:p>
    <w:p w:rsidR="00A15325" w:rsidRDefault="00A15325" w:rsidP="00A15325">
      <w:pPr>
        <w:pStyle w:val="Body"/>
        <w:ind w:firstLine="720"/>
      </w:pPr>
      <w:r>
        <w:rPr>
          <w:rFonts w:hAnsi="Helvetica"/>
        </w:rPr>
        <w:t> </w:t>
      </w:r>
    </w:p>
    <w:p w:rsidR="00A15325" w:rsidRDefault="00A15325" w:rsidP="00A15325">
      <w:pPr>
        <w:pStyle w:val="Body"/>
        <w:ind w:firstLine="720"/>
        <w:rPr>
          <w:rFonts w:ascii="Times" w:eastAsia="Times" w:hAnsi="Times" w:cs="Times"/>
        </w:rPr>
      </w:pPr>
      <w:r>
        <w:rPr>
          <w:lang w:val="en-US"/>
        </w:rPr>
        <w:t>Similarly to other companies, LPE also are typically sold at a premium during IPOs. Constantinescu</w:t>
      </w:r>
      <w:r>
        <w:t xml:space="preserve"> (2012</w:t>
      </w:r>
      <w:r>
        <w:rPr>
          <w:lang w:val="da-DK"/>
        </w:rPr>
        <w:t>) find</w:t>
      </w:r>
      <w:r>
        <w:t>s</w:t>
      </w:r>
      <w:r>
        <w:rPr>
          <w:lang w:val="en-US"/>
        </w:rPr>
        <w:t xml:space="preserve"> that LPE fund premium to be -2.5% during IPOs, yet it adjusts to a long-term average of -21% after two years using net asset value estimations. Additionally, they show evidence that premium heavily depends on credit markets and systematic risk are presented, indicating a lack of information about portfolio in net asset values. On the contrary, Lahr </w:t>
      </w:r>
      <w:r>
        <w:t>(</w:t>
      </w:r>
      <w:r>
        <w:rPr>
          <w:lang w:val="en-US"/>
        </w:rPr>
        <w:t xml:space="preserve">2010) find that on equally weighted basis, firms show excess returns of 5.8%, yet they also attribute this to liquidity risk premium imbedded in returns which is not accounted for by their CAPM estimations. </w:t>
      </w:r>
      <w:proofErr w:type="spellStart"/>
      <w:r>
        <w:rPr>
          <w:lang w:val="en-US"/>
        </w:rPr>
        <w:t>Jegadeesh</w:t>
      </w:r>
      <w:proofErr w:type="spellEnd"/>
      <w:r>
        <w:t xml:space="preserve"> et al. (</w:t>
      </w:r>
      <w:r>
        <w:rPr>
          <w:lang w:val="en-US"/>
        </w:rPr>
        <w:t>2009) extend the performance analysis of venture capital versus buyout to listed private equity and conclude that it looks more like a performance of small rather than large companies. Additionally, they construct a LPE index from a broad class of various LPE funds and compare it to an NVCA index used to track performance using fund level data. They find that LPE index slightly outperforms NVCA index and conclude that the latter index looks like a version of the former smoothed based on market prices.</w:t>
      </w:r>
    </w:p>
    <w:p w:rsidR="00A15325" w:rsidRDefault="00A15325" w:rsidP="00A15325">
      <w:pPr>
        <w:pStyle w:val="Body"/>
        <w:ind w:firstLine="720"/>
      </w:pPr>
      <w:r>
        <w:rPr>
          <w:rFonts w:hAnsi="Helvetica"/>
        </w:rPr>
        <w:t> </w:t>
      </w:r>
    </w:p>
    <w:p w:rsidR="00A15325" w:rsidRDefault="00A15325" w:rsidP="00A15325">
      <w:pPr>
        <w:pStyle w:val="Body"/>
        <w:ind w:firstLine="720"/>
        <w:rPr>
          <w:rFonts w:ascii="Times" w:eastAsia="Times" w:hAnsi="Times" w:cs="Times"/>
        </w:rPr>
      </w:pPr>
      <w:r>
        <w:rPr>
          <w:lang w:val="nl-NL"/>
        </w:rPr>
        <w:t>Jegadees</w:t>
      </w:r>
      <w:r>
        <w:t>h et al. (</w:t>
      </w:r>
      <w:r>
        <w:rPr>
          <w:lang w:val="en-US"/>
        </w:rPr>
        <w:t xml:space="preserve">2014) use PEPI (private equity in public investments) index composed by Thompson </w:t>
      </w:r>
      <w:proofErr w:type="spellStart"/>
      <w:r>
        <w:rPr>
          <w:lang w:val="en-US"/>
        </w:rPr>
        <w:t>Retuers</w:t>
      </w:r>
      <w:proofErr w:type="spellEnd"/>
      <w:r>
        <w:rPr>
          <w:lang w:val="en-US"/>
        </w:rPr>
        <w:t xml:space="preserve"> based on quarterly cash flows to calculate the interim returns of PE investments. Since smoothed out net asset values are used, the index does not reflect the actual value of PE investments in a timely manner. When compared to index based on </w:t>
      </w:r>
      <w:proofErr w:type="spellStart"/>
      <w:r>
        <w:rPr>
          <w:lang w:val="en-US"/>
        </w:rPr>
        <w:t>FoFs</w:t>
      </w:r>
      <w:proofErr w:type="spellEnd"/>
      <w:r>
        <w:rPr>
          <w:lang w:val="en-US"/>
        </w:rPr>
        <w:t xml:space="preserve">, </w:t>
      </w:r>
      <w:proofErr w:type="spellStart"/>
      <w:r>
        <w:rPr>
          <w:lang w:val="en-US"/>
        </w:rPr>
        <w:t>Jegadeesh</w:t>
      </w:r>
      <w:proofErr w:type="spellEnd"/>
      <w:r>
        <w:t xml:space="preserve"> et al. (</w:t>
      </w:r>
      <w:r>
        <w:rPr>
          <w:lang w:val="en-US"/>
        </w:rPr>
        <w:t xml:space="preserve">2014) find that estimated systematic risk using PEPI is a lot smaller than that used by </w:t>
      </w:r>
      <w:proofErr w:type="spellStart"/>
      <w:r>
        <w:rPr>
          <w:lang w:val="en-US"/>
        </w:rPr>
        <w:t>FoFs</w:t>
      </w:r>
      <w:proofErr w:type="spellEnd"/>
      <w:r>
        <w:rPr>
          <w:lang w:val="en-US"/>
        </w:rPr>
        <w:t xml:space="preserve"> or LPE because of the partial adjustment used, postulating that it underestimates the actual sensitivity of PE funds to the stock market.</w:t>
      </w:r>
    </w:p>
    <w:p w:rsidR="00A15325" w:rsidRDefault="00A15325" w:rsidP="00A15325">
      <w:pPr>
        <w:pStyle w:val="Body"/>
        <w:ind w:firstLine="720"/>
      </w:pPr>
      <w:r>
        <w:rPr>
          <w:rFonts w:hAnsi="Helvetica"/>
        </w:rPr>
        <w:t> </w:t>
      </w:r>
    </w:p>
    <w:p w:rsidR="00A15325" w:rsidRDefault="00A15325" w:rsidP="00A15325">
      <w:pPr>
        <w:pStyle w:val="Body"/>
        <w:ind w:firstLine="720"/>
        <w:rPr>
          <w:rFonts w:ascii="Times" w:eastAsia="Times" w:hAnsi="Times" w:cs="Times"/>
        </w:rPr>
      </w:pPr>
      <w:r>
        <w:rPr>
          <w:lang w:val="en-US"/>
        </w:rPr>
        <w:t xml:space="preserve">Various </w:t>
      </w:r>
      <w:proofErr w:type="gramStart"/>
      <w:r>
        <w:rPr>
          <w:lang w:val="en-US"/>
        </w:rPr>
        <w:t>research</w:t>
      </w:r>
      <w:proofErr w:type="gramEnd"/>
      <w:r>
        <w:rPr>
          <w:lang w:val="en-US"/>
        </w:rPr>
        <w:t xml:space="preserve"> note that macro environment is very important determinant for PE investments. It can be directly observed in LPE, as shown by </w:t>
      </w:r>
      <w:proofErr w:type="spellStart"/>
      <w:r>
        <w:rPr>
          <w:lang w:val="en-US"/>
        </w:rPr>
        <w:t>Jegadeesh</w:t>
      </w:r>
      <w:proofErr w:type="spellEnd"/>
      <w:r>
        <w:rPr>
          <w:lang w:val="en-US"/>
        </w:rPr>
        <w:t xml:space="preserve"> et al. (2014) who find that both, GDP growth and money supply growth have positive effect on performance of LPE. In addition, they find that </w:t>
      </w:r>
      <w:proofErr w:type="spellStart"/>
      <w:r>
        <w:rPr>
          <w:lang w:val="en-US"/>
        </w:rPr>
        <w:t>FoFs</w:t>
      </w:r>
      <w:proofErr w:type="spellEnd"/>
      <w:r>
        <w:rPr>
          <w:lang w:val="en-US"/>
        </w:rPr>
        <w:t xml:space="preserve"> and LPE returns are negatively related to the credit spread, indicating that credit risk significantly affects the performance of PE.</w:t>
      </w:r>
    </w:p>
    <w:p w:rsidR="00A15325" w:rsidRDefault="00A15325" w:rsidP="00A15325">
      <w:pPr>
        <w:pStyle w:val="Body"/>
        <w:ind w:firstLine="720"/>
      </w:pPr>
      <w:r>
        <w:rPr>
          <w:rFonts w:hAnsi="Helvetica"/>
        </w:rPr>
        <w:t> </w:t>
      </w:r>
    </w:p>
    <w:p w:rsidR="00A15325" w:rsidRDefault="00A15325" w:rsidP="00A15325">
      <w:pPr>
        <w:pStyle w:val="Body"/>
        <w:ind w:firstLine="720"/>
      </w:pPr>
    </w:p>
    <w:p w:rsidR="00A15325" w:rsidRDefault="00A15325" w:rsidP="00A15325">
      <w:pPr>
        <w:pStyle w:val="Body"/>
        <w:ind w:firstLine="720"/>
        <w:rPr>
          <w:rFonts w:ascii="Times" w:eastAsia="Times" w:hAnsi="Times" w:cs="Times"/>
        </w:rPr>
      </w:pPr>
      <w:r>
        <w:rPr>
          <w:lang w:val="da-DK"/>
        </w:rPr>
        <w:t>Risk profile</w:t>
      </w:r>
    </w:p>
    <w:p w:rsidR="00A15325" w:rsidRDefault="00A15325" w:rsidP="00A15325">
      <w:pPr>
        <w:pStyle w:val="Body"/>
        <w:ind w:firstLine="720"/>
      </w:pPr>
      <w:r>
        <w:rPr>
          <w:rFonts w:hAnsi="Helvetica"/>
        </w:rPr>
        <w:t> </w:t>
      </w:r>
    </w:p>
    <w:p w:rsidR="00A15325" w:rsidRDefault="00A15325" w:rsidP="00A15325">
      <w:pPr>
        <w:pStyle w:val="Body"/>
        <w:ind w:firstLine="720"/>
        <w:rPr>
          <w:rFonts w:ascii="Times" w:eastAsia="Times" w:hAnsi="Times" w:cs="Times"/>
        </w:rPr>
      </w:pPr>
      <w:r>
        <w:rPr>
          <w:lang w:val="en-US"/>
        </w:rPr>
        <w:t xml:space="preserve">Estimating risk profile for PE investments using fund-level or company-level data can be a lot more problematic and results reported by various </w:t>
      </w:r>
      <w:proofErr w:type="gramStart"/>
      <w:r>
        <w:rPr>
          <w:lang w:val="en-US"/>
        </w:rPr>
        <w:t>research</w:t>
      </w:r>
      <w:proofErr w:type="gramEnd"/>
      <w:r>
        <w:rPr>
          <w:lang w:val="en-US"/>
        </w:rPr>
        <w:t xml:space="preserve"> vary significantly. Conroy and Harris (2007) show that private equity</w:t>
      </w:r>
      <w:r>
        <w:rPr>
          <w:rFonts w:hAnsi="Helvetica"/>
          <w:lang w:val="fr-FR"/>
        </w:rPr>
        <w:t>’</w:t>
      </w:r>
      <w:r>
        <w:rPr>
          <w:lang w:val="en-US"/>
        </w:rPr>
        <w:t xml:space="preserve">s attractiveness is overstated and that risk-adjusted returns are significantly overstated (Soderblom, </w:t>
      </w:r>
      <w:r>
        <w:t xml:space="preserve">A., </w:t>
      </w:r>
      <w:r>
        <w:rPr>
          <w:lang w:val="en-US"/>
        </w:rPr>
        <w:t xml:space="preserve">2011) Estimates for betas, for example, in </w:t>
      </w:r>
      <w:r>
        <w:rPr>
          <w:lang w:val="en-US"/>
        </w:rPr>
        <w:lastRenderedPageBreak/>
        <w:t>studies based on company-level data starting from as a high as 3.6. For PE they generally tend to be above one (</w:t>
      </w:r>
      <w:proofErr w:type="spellStart"/>
      <w:r>
        <w:rPr>
          <w:lang w:val="en-US"/>
        </w:rPr>
        <w:t>Ang</w:t>
      </w:r>
      <w:proofErr w:type="spellEnd"/>
      <w:r>
        <w:rPr>
          <w:lang w:val="en-US"/>
        </w:rPr>
        <w:t>, A. &amp; Sorensen, M.</w:t>
      </w:r>
      <w:r>
        <w:t xml:space="preserve">, </w:t>
      </w:r>
      <w:r>
        <w:rPr>
          <w:lang w:val="en-US"/>
        </w:rPr>
        <w:t xml:space="preserve">2012). Cochrane (2005) introduces and </w:t>
      </w:r>
      <w:proofErr w:type="spellStart"/>
      <w:r>
        <w:rPr>
          <w:lang w:val="en-US"/>
        </w:rPr>
        <w:t>Korteweg</w:t>
      </w:r>
      <w:proofErr w:type="spellEnd"/>
      <w:r>
        <w:rPr>
          <w:lang w:val="en-US"/>
        </w:rPr>
        <w:t xml:space="preserve"> and Sorensen (2010) extend on method to avoid selection bias for fund level data through using continuous time CAPM. Cochrane (2005) </w:t>
      </w:r>
      <w:r>
        <w:t xml:space="preserve">also </w:t>
      </w:r>
      <w:r>
        <w:rPr>
          <w:lang w:val="en-US"/>
        </w:rPr>
        <w:t xml:space="preserve">estimates systematic risk for PE to be between 0.6-1.9, </w:t>
      </w:r>
      <w:proofErr w:type="spellStart"/>
      <w:r>
        <w:rPr>
          <w:lang w:val="en-US"/>
        </w:rPr>
        <w:t>Korteweg</w:t>
      </w:r>
      <w:proofErr w:type="spellEnd"/>
      <w:r>
        <w:rPr>
          <w:lang w:val="en-US"/>
        </w:rPr>
        <w:t xml:space="preserve"> and Sorensen (2010) claim it to be as high as 2.6.-2.8 (</w:t>
      </w:r>
      <w:proofErr w:type="spellStart"/>
      <w:r>
        <w:rPr>
          <w:lang w:val="en-US"/>
        </w:rPr>
        <w:t>Ang</w:t>
      </w:r>
      <w:proofErr w:type="spellEnd"/>
      <w:r>
        <w:rPr>
          <w:lang w:val="en-US"/>
        </w:rPr>
        <w:t>, A. &amp; Sorensen, M., 2012).</w:t>
      </w:r>
    </w:p>
    <w:p w:rsidR="00A15325" w:rsidRDefault="00A15325" w:rsidP="00A15325">
      <w:pPr>
        <w:pStyle w:val="Body"/>
        <w:ind w:firstLine="720"/>
        <w:rPr>
          <w:rFonts w:ascii="Times" w:eastAsia="Times" w:hAnsi="Times" w:cs="Times"/>
        </w:rPr>
      </w:pPr>
      <w:r>
        <w:rPr>
          <w:lang w:val="de-DE"/>
        </w:rPr>
        <w:t>Lahr</w:t>
      </w:r>
      <w:r>
        <w:t xml:space="preserve"> (2010) argues</w:t>
      </w:r>
      <w:r>
        <w:rPr>
          <w:lang w:val="en-US"/>
        </w:rPr>
        <w:t xml:space="preserve"> that systematic risk of private equity is affected by unique factors, such as acquisitions and divestments continuously changing portfolios, lack of information about companies in the portfolios and fast changes in portfolio companies. These provide challenge for strategic portfolio allocation.</w:t>
      </w:r>
    </w:p>
    <w:p w:rsidR="00A15325" w:rsidRDefault="00A15325" w:rsidP="00A15325">
      <w:pPr>
        <w:pStyle w:val="Body"/>
        <w:ind w:firstLine="720"/>
      </w:pPr>
      <w:r>
        <w:rPr>
          <w:lang w:val="en-US"/>
        </w:rPr>
        <w:t xml:space="preserve">When evaluated for LPE, (NEZINU KAS) shows an aggregate dimension beta of 1.7 with no excess returns. The authors also differentiate between systematic </w:t>
      </w:r>
      <w:proofErr w:type="gramStart"/>
      <w:r>
        <w:rPr>
          <w:lang w:val="en-US"/>
        </w:rPr>
        <w:t>risk</w:t>
      </w:r>
      <w:proofErr w:type="gramEnd"/>
      <w:r>
        <w:rPr>
          <w:lang w:val="en-US"/>
        </w:rPr>
        <w:t xml:space="preserve"> in internally and externally managed investment vehicles and find that former are more risky than later. They also find that aggregate market risk of LPE varies over time significantly and individual betas estimated by CAPM are highly unstable and only predictable for the upcoming 2-3 years. </w:t>
      </w:r>
      <w:r>
        <w:rPr>
          <w:rFonts w:hAnsi="Helvetica"/>
        </w:rPr>
        <w:t> </w:t>
      </w:r>
      <w:r>
        <w:rPr>
          <w:lang w:val="en-US"/>
        </w:rPr>
        <w:t xml:space="preserve">Lastly, they find that LPE differs from traditional PE as it can be either a fund, management company, a combination of both or a fund of fund. </w:t>
      </w:r>
      <w:proofErr w:type="gramStart"/>
      <w:r>
        <w:rPr>
          <w:lang w:val="en-US"/>
        </w:rPr>
        <w:t>Because of this.</w:t>
      </w:r>
      <w:proofErr w:type="gramEnd"/>
      <w:r>
        <w:rPr>
          <w:lang w:val="en-US"/>
        </w:rPr>
        <w:t xml:space="preserve"> Lahr (2010) </w:t>
      </w:r>
      <w:r>
        <w:t>classifies</w:t>
      </w:r>
      <w:r>
        <w:rPr>
          <w:lang w:val="en-US"/>
        </w:rPr>
        <w:t xml:space="preserve"> LPE vehicles among two dimensions, participation in fees and carried interest vs degree of diversification. The extent of systematic risk varies significantly between these vehicles, with dimension beta being 0.6 for funds of funds to 1.5 for firms, 1.2 for funds and 2.0 for investment companies.</w:t>
      </w:r>
    </w:p>
    <w:p w:rsidR="00A15325" w:rsidRDefault="00A15325" w:rsidP="00A15325">
      <w:pPr>
        <w:pStyle w:val="Body"/>
        <w:ind w:firstLine="720"/>
        <w:rPr>
          <w:rFonts w:ascii="Times" w:eastAsia="Times" w:hAnsi="Times" w:cs="Times"/>
        </w:rPr>
      </w:pPr>
    </w:p>
    <w:p w:rsidR="00A15325" w:rsidRDefault="00A15325" w:rsidP="00A15325">
      <w:pPr>
        <w:pStyle w:val="Body"/>
        <w:ind w:firstLine="720"/>
        <w:rPr>
          <w:rFonts w:ascii="Times" w:eastAsia="Times" w:hAnsi="Times" w:cs="Times"/>
        </w:rPr>
      </w:pPr>
      <w:r>
        <w:rPr>
          <w:lang w:val="it-IT"/>
        </w:rPr>
        <w:t>Portfolio diversification</w:t>
      </w:r>
    </w:p>
    <w:p w:rsidR="00A15325" w:rsidRDefault="00A15325" w:rsidP="00A15325">
      <w:pPr>
        <w:pStyle w:val="Body"/>
        <w:ind w:firstLine="720"/>
        <w:rPr>
          <w:lang w:val="en-US"/>
        </w:rPr>
      </w:pPr>
      <w:r>
        <w:rPr>
          <w:lang w:val="en-US"/>
        </w:rPr>
        <w:t xml:space="preserve">According to the study of </w:t>
      </w:r>
      <w:proofErr w:type="spellStart"/>
      <w:r>
        <w:rPr>
          <w:lang w:val="en-US"/>
        </w:rPr>
        <w:t>Humphery</w:t>
      </w:r>
      <w:proofErr w:type="spellEnd"/>
      <w:r>
        <w:rPr>
          <w:lang w:val="en-US"/>
        </w:rPr>
        <w:t>-Jenner (2013), portfolio diversification increases internal rates of return (IRR) in the company. According to Buchner (2012), the portfolio has to have optimal weights for the welfare effects to take place. Even though the traditional model of choosing optimal portfolio suggests a standard mean-variance framework, Buchner (2012) notes that because PE funds and public stock market investments share similar risk and return characteristics, investors might find that including PE in their portfolio leads to significant benefits because of the unique factors that allow for further diversification.</w:t>
      </w:r>
    </w:p>
    <w:p w:rsidR="00200847" w:rsidRDefault="00200847" w:rsidP="00200847">
      <w:pPr>
        <w:pStyle w:val="Body"/>
        <w:rPr>
          <w:lang w:val="en-US"/>
        </w:rPr>
      </w:pPr>
    </w:p>
    <w:p w:rsidR="00200847" w:rsidRDefault="00200847" w:rsidP="00200847">
      <w:pPr>
        <w:pStyle w:val="Body"/>
        <w:rPr>
          <w:lang w:val="en-US"/>
        </w:rPr>
      </w:pPr>
      <w:proofErr w:type="spellStart"/>
      <w:r>
        <w:rPr>
          <w:lang w:val="en-US"/>
        </w:rPr>
        <w:t>Markow</w:t>
      </w:r>
      <w:proofErr w:type="spellEnd"/>
      <w:r>
        <w:rPr>
          <w:lang w:val="en-US"/>
        </w:rPr>
        <w:t xml:space="preserve"> Switching model</w:t>
      </w:r>
    </w:p>
    <w:p w:rsidR="00200847" w:rsidRDefault="00200847" w:rsidP="00A15325">
      <w:pPr>
        <w:pStyle w:val="Body"/>
        <w:ind w:firstLine="720"/>
        <w:rPr>
          <w:lang w:val="en-US"/>
        </w:rPr>
      </w:pPr>
    </w:p>
    <w:p w:rsidR="00200847" w:rsidRDefault="00200847" w:rsidP="00200847">
      <w:pPr>
        <w:pStyle w:val="Textbody"/>
      </w:pPr>
      <w:r>
        <w:t xml:space="preserve">The basic Markov Switching model has finite number of states that are </w:t>
      </w:r>
      <w:proofErr w:type="spellStart"/>
      <w:r>
        <w:t>characterised</w:t>
      </w:r>
      <w:proofErr w:type="spellEnd"/>
      <w:r>
        <w:t xml:space="preserve"> by state dependent mean, variance and set of probabilities of change from one state into another. </w:t>
      </w:r>
    </w:p>
    <w:p w:rsidR="00200847" w:rsidRDefault="00200847" w:rsidP="00200847">
      <w:pPr>
        <w:pStyle w:val="Textbody"/>
      </w:pPr>
      <w:r>
        <w:t xml:space="preserve">While the first MS models were used in research studying business cycles already by Hamilton (1989), currently a number of different variations of Markov models exist. Allan </w:t>
      </w:r>
      <w:proofErr w:type="spellStart"/>
      <w:r>
        <w:t>Timmermann</w:t>
      </w:r>
      <w:proofErr w:type="spellEnd"/>
      <w:r>
        <w:t xml:space="preserve"> in his paper (2000) introduced Basic MS, autoregressive MS and state-dependent autoregressive </w:t>
      </w:r>
      <w:proofErr w:type="spellStart"/>
      <w:r>
        <w:t>markov</w:t>
      </w:r>
      <w:proofErr w:type="spellEnd"/>
      <w:r>
        <w:t xml:space="preserve"> MS models. Markov Switching Poisson Multifractal and Markov Switching Multifractal models were introduced by </w:t>
      </w:r>
      <w:proofErr w:type="spellStart"/>
      <w:r>
        <w:t>Calvet</w:t>
      </w:r>
      <w:proofErr w:type="spellEnd"/>
      <w:r>
        <w:t xml:space="preserve"> and Fisher (2004), but Hidden Markov-Switching model introduced by Rossi and Gallo (2006).</w:t>
      </w:r>
    </w:p>
    <w:p w:rsidR="00200847" w:rsidRDefault="00200847" w:rsidP="00200847">
      <w:pPr>
        <w:pStyle w:val="Textbody"/>
      </w:pPr>
      <w:r>
        <w:t xml:space="preserve">Markov models are mostly used because of their ability to better fit complex data. The models allow for generation of non-normal distributions with different coefficients of means, standard deviations, </w:t>
      </w:r>
      <w:proofErr w:type="spellStart"/>
      <w:r>
        <w:t>skewness</w:t>
      </w:r>
      <w:proofErr w:type="spellEnd"/>
      <w:r>
        <w:t>, kurtosis and serial correlation (</w:t>
      </w:r>
      <w:proofErr w:type="spellStart"/>
      <w:r>
        <w:t>Timmermann</w:t>
      </w:r>
      <w:proofErr w:type="spellEnd"/>
      <w:r>
        <w:t xml:space="preserve">, A., 2000), (A. </w:t>
      </w:r>
      <w:proofErr w:type="spellStart"/>
      <w:r>
        <w:t>Taamouti</w:t>
      </w:r>
      <w:proofErr w:type="spellEnd"/>
      <w:r>
        <w:t xml:space="preserve">, 2012). Mean reversion, the assumption that after shock the value tends to return a theoretical mean value, is also captured by Markov Switching models according to research conducted by </w:t>
      </w:r>
      <w:proofErr w:type="spellStart"/>
      <w:r>
        <w:t>Abderrahim</w:t>
      </w:r>
      <w:proofErr w:type="spellEnd"/>
      <w:r>
        <w:t xml:space="preserve"> </w:t>
      </w:r>
      <w:proofErr w:type="spellStart"/>
      <w:r>
        <w:t>Taamouti</w:t>
      </w:r>
      <w:proofErr w:type="spellEnd"/>
      <w:r>
        <w:t xml:space="preserve"> (2012). The model can also serve as better volatility estimates, as shown </w:t>
      </w:r>
      <w:r>
        <w:lastRenderedPageBreak/>
        <w:t xml:space="preserve">by </w:t>
      </w:r>
      <w:proofErr w:type="spellStart"/>
      <w:r>
        <w:t>Abderrahim</w:t>
      </w:r>
      <w:proofErr w:type="spellEnd"/>
      <w:r>
        <w:t xml:space="preserve"> </w:t>
      </w:r>
      <w:proofErr w:type="spellStart"/>
      <w:r>
        <w:t>Taamouti</w:t>
      </w:r>
      <w:proofErr w:type="spellEnd"/>
      <w:r>
        <w:t xml:space="preserve"> (2012), who uses volatility clustering that </w:t>
      </w:r>
      <w:proofErr w:type="spellStart"/>
      <w:r>
        <w:t>characterises</w:t>
      </w:r>
      <w:proofErr w:type="spellEnd"/>
      <w:r>
        <w:t xml:space="preserve"> most of real world data through Markov model.</w:t>
      </w:r>
    </w:p>
    <w:p w:rsidR="00200847" w:rsidRDefault="00200847" w:rsidP="00A15325">
      <w:pPr>
        <w:pStyle w:val="Body"/>
        <w:ind w:firstLine="720"/>
      </w:pPr>
    </w:p>
    <w:p w:rsidR="00BE3F2A" w:rsidRDefault="00BE3F2A">
      <w:r>
        <w:br w:type="page"/>
      </w:r>
    </w:p>
    <w:p w:rsidR="00BE3F2A" w:rsidRDefault="00BE3F2A" w:rsidP="00BE3F2A">
      <w:pPr>
        <w:rPr>
          <w:rFonts w:ascii="Times New Roman" w:hAnsi="Times New Roman" w:cs="Times New Roman"/>
          <w:sz w:val="24"/>
          <w:szCs w:val="24"/>
        </w:rPr>
      </w:pPr>
    </w:p>
    <w:p w:rsidR="00BE3F2A" w:rsidRDefault="00BE3F2A" w:rsidP="00BE3F2A">
      <w:pPr>
        <w:rPr>
          <w:b/>
        </w:rPr>
      </w:pPr>
      <w:r w:rsidRPr="002C6959">
        <w:rPr>
          <w:b/>
        </w:rPr>
        <w:t>Results</w:t>
      </w:r>
    </w:p>
    <w:p w:rsidR="00F21F92" w:rsidRPr="002C6959" w:rsidRDefault="00F21F92" w:rsidP="00BE3F2A">
      <w:pPr>
        <w:rPr>
          <w:b/>
        </w:rPr>
      </w:pPr>
      <w:r>
        <w:rPr>
          <w:b/>
        </w:rPr>
        <w:t>Historical Data</w:t>
      </w:r>
    </w:p>
    <w:tbl>
      <w:tblPr>
        <w:tblStyle w:val="Reatabula"/>
        <w:tblW w:w="6912" w:type="dxa"/>
        <w:jc w:val="center"/>
        <w:tblLook w:val="04A0" w:firstRow="1" w:lastRow="0" w:firstColumn="1" w:lastColumn="0" w:noHBand="0" w:noVBand="1"/>
      </w:tblPr>
      <w:tblGrid>
        <w:gridCol w:w="1607"/>
        <w:gridCol w:w="1053"/>
        <w:gridCol w:w="1053"/>
        <w:gridCol w:w="1053"/>
        <w:gridCol w:w="960"/>
        <w:gridCol w:w="1186"/>
      </w:tblGrid>
      <w:tr w:rsidR="007456B3" w:rsidTr="00676A51">
        <w:trPr>
          <w:trHeight w:val="300"/>
          <w:jc w:val="center"/>
        </w:trPr>
        <w:tc>
          <w:tcPr>
            <w:tcW w:w="1607" w:type="dxa"/>
            <w:noWrap/>
            <w:hideMark/>
          </w:tcPr>
          <w:p w:rsidR="007456B3" w:rsidRDefault="007456B3">
            <w:pPr>
              <w:rPr>
                <w:rFonts w:ascii="Calibri" w:hAnsi="Calibri"/>
                <w:color w:val="000000"/>
              </w:rPr>
            </w:pPr>
            <w:r>
              <w:rPr>
                <w:rFonts w:ascii="Calibri" w:hAnsi="Calibri"/>
                <w:color w:val="000000"/>
              </w:rPr>
              <w:t>Results</w:t>
            </w:r>
          </w:p>
        </w:tc>
        <w:tc>
          <w:tcPr>
            <w:tcW w:w="1053" w:type="dxa"/>
            <w:noWrap/>
            <w:hideMark/>
          </w:tcPr>
          <w:p w:rsidR="007456B3" w:rsidRDefault="007456B3">
            <w:pPr>
              <w:rPr>
                <w:rFonts w:ascii="Calibri" w:hAnsi="Calibri"/>
                <w:color w:val="000000"/>
              </w:rPr>
            </w:pPr>
            <w:r>
              <w:rPr>
                <w:rFonts w:ascii="Calibri" w:hAnsi="Calibri"/>
                <w:color w:val="000000"/>
              </w:rPr>
              <w:t>Mean</w:t>
            </w:r>
          </w:p>
        </w:tc>
        <w:tc>
          <w:tcPr>
            <w:tcW w:w="1053" w:type="dxa"/>
            <w:noWrap/>
            <w:hideMark/>
          </w:tcPr>
          <w:p w:rsidR="007456B3" w:rsidRDefault="007456B3">
            <w:pPr>
              <w:rPr>
                <w:rFonts w:ascii="Calibri" w:hAnsi="Calibri"/>
                <w:color w:val="000000"/>
              </w:rPr>
            </w:pPr>
            <w:r>
              <w:rPr>
                <w:rFonts w:ascii="Calibri" w:hAnsi="Calibri"/>
                <w:color w:val="000000"/>
              </w:rPr>
              <w:t xml:space="preserve">Annual </w:t>
            </w:r>
            <w:proofErr w:type="spellStart"/>
            <w:r>
              <w:rPr>
                <w:rFonts w:ascii="Calibri" w:hAnsi="Calibri"/>
                <w:color w:val="000000"/>
              </w:rPr>
              <w:t>Stdev</w:t>
            </w:r>
            <w:proofErr w:type="spellEnd"/>
          </w:p>
        </w:tc>
        <w:tc>
          <w:tcPr>
            <w:tcW w:w="1053" w:type="dxa"/>
            <w:noWrap/>
            <w:hideMark/>
          </w:tcPr>
          <w:p w:rsidR="007456B3" w:rsidRDefault="007456B3">
            <w:pPr>
              <w:rPr>
                <w:rFonts w:ascii="Calibri" w:hAnsi="Calibri"/>
                <w:color w:val="000000"/>
              </w:rPr>
            </w:pPr>
            <w:r>
              <w:rPr>
                <w:rFonts w:ascii="Calibri" w:hAnsi="Calibri"/>
                <w:color w:val="000000"/>
              </w:rPr>
              <w:t>Sharp</w:t>
            </w:r>
            <w:r w:rsidR="00BA4EFA">
              <w:rPr>
                <w:rFonts w:ascii="Calibri" w:hAnsi="Calibri"/>
                <w:color w:val="000000"/>
              </w:rPr>
              <w:t>e</w:t>
            </w:r>
            <w:r>
              <w:rPr>
                <w:rFonts w:ascii="Calibri" w:hAnsi="Calibri"/>
                <w:color w:val="000000"/>
              </w:rPr>
              <w:t xml:space="preserve"> Ratio</w:t>
            </w:r>
          </w:p>
        </w:tc>
        <w:tc>
          <w:tcPr>
            <w:tcW w:w="960" w:type="dxa"/>
            <w:noWrap/>
            <w:hideMark/>
          </w:tcPr>
          <w:p w:rsidR="007456B3" w:rsidRDefault="007456B3">
            <w:pPr>
              <w:rPr>
                <w:rFonts w:ascii="Calibri" w:hAnsi="Calibri"/>
                <w:color w:val="000000"/>
              </w:rPr>
            </w:pPr>
            <w:r>
              <w:rPr>
                <w:rFonts w:ascii="Calibri" w:hAnsi="Calibri"/>
                <w:color w:val="000000"/>
              </w:rPr>
              <w:t>Beta</w:t>
            </w:r>
          </w:p>
        </w:tc>
        <w:tc>
          <w:tcPr>
            <w:tcW w:w="1186" w:type="dxa"/>
            <w:noWrap/>
            <w:hideMark/>
          </w:tcPr>
          <w:p w:rsidR="007456B3" w:rsidRDefault="007456B3">
            <w:pPr>
              <w:rPr>
                <w:rFonts w:ascii="Calibri" w:hAnsi="Calibri"/>
                <w:color w:val="000000"/>
              </w:rPr>
            </w:pPr>
            <w:r>
              <w:rPr>
                <w:rFonts w:ascii="Calibri" w:hAnsi="Calibri"/>
                <w:color w:val="000000"/>
              </w:rPr>
              <w:t>Alpha</w:t>
            </w:r>
          </w:p>
        </w:tc>
      </w:tr>
      <w:tr w:rsidR="007456B3" w:rsidTr="00676A51">
        <w:trPr>
          <w:trHeight w:val="300"/>
          <w:jc w:val="center"/>
        </w:trPr>
        <w:tc>
          <w:tcPr>
            <w:tcW w:w="1607" w:type="dxa"/>
            <w:noWrap/>
            <w:hideMark/>
          </w:tcPr>
          <w:p w:rsidR="007456B3" w:rsidRDefault="007456B3">
            <w:pPr>
              <w:rPr>
                <w:rFonts w:ascii="Calibri" w:hAnsi="Calibri"/>
                <w:color w:val="000000"/>
              </w:rPr>
            </w:pPr>
            <w:r>
              <w:rPr>
                <w:rFonts w:ascii="Calibri" w:hAnsi="Calibri"/>
                <w:color w:val="000000"/>
              </w:rPr>
              <w:t>Market Weighted</w:t>
            </w:r>
          </w:p>
        </w:tc>
        <w:tc>
          <w:tcPr>
            <w:tcW w:w="1053" w:type="dxa"/>
            <w:noWrap/>
            <w:hideMark/>
          </w:tcPr>
          <w:p w:rsidR="007456B3" w:rsidRDefault="007456B3">
            <w:pPr>
              <w:jc w:val="right"/>
              <w:rPr>
                <w:rFonts w:ascii="Calibri" w:hAnsi="Calibri"/>
                <w:color w:val="000000"/>
              </w:rPr>
            </w:pPr>
            <w:r>
              <w:rPr>
                <w:rFonts w:ascii="Calibri" w:hAnsi="Calibri"/>
                <w:color w:val="000000"/>
              </w:rPr>
              <w:t>1.867915</w:t>
            </w:r>
          </w:p>
        </w:tc>
        <w:tc>
          <w:tcPr>
            <w:tcW w:w="1053" w:type="dxa"/>
            <w:noWrap/>
            <w:hideMark/>
          </w:tcPr>
          <w:p w:rsidR="007456B3" w:rsidRDefault="007456B3">
            <w:pPr>
              <w:jc w:val="right"/>
              <w:rPr>
                <w:rFonts w:ascii="Calibri" w:hAnsi="Calibri"/>
                <w:color w:val="000000"/>
              </w:rPr>
            </w:pPr>
            <w:r>
              <w:rPr>
                <w:rFonts w:ascii="Calibri" w:hAnsi="Calibri"/>
                <w:color w:val="000000"/>
              </w:rPr>
              <w:t>26.35689</w:t>
            </w:r>
          </w:p>
        </w:tc>
        <w:tc>
          <w:tcPr>
            <w:tcW w:w="1053" w:type="dxa"/>
            <w:noWrap/>
            <w:hideMark/>
          </w:tcPr>
          <w:p w:rsidR="000E36A4" w:rsidRDefault="000E36A4" w:rsidP="000E36A4">
            <w:pPr>
              <w:jc w:val="right"/>
              <w:rPr>
                <w:rFonts w:ascii="Calibri" w:hAnsi="Calibri"/>
                <w:color w:val="000000"/>
              </w:rPr>
            </w:pPr>
            <w:r>
              <w:rPr>
                <w:rFonts w:ascii="Calibri" w:hAnsi="Calibri"/>
                <w:color w:val="000000"/>
              </w:rPr>
              <w:t>-0.01829</w:t>
            </w:r>
          </w:p>
          <w:p w:rsidR="007456B3" w:rsidRDefault="007456B3">
            <w:pPr>
              <w:jc w:val="right"/>
              <w:rPr>
                <w:rFonts w:ascii="Calibri" w:hAnsi="Calibri"/>
                <w:color w:val="000000"/>
              </w:rPr>
            </w:pPr>
          </w:p>
        </w:tc>
        <w:tc>
          <w:tcPr>
            <w:tcW w:w="960" w:type="dxa"/>
            <w:noWrap/>
            <w:hideMark/>
          </w:tcPr>
          <w:p w:rsidR="007456B3" w:rsidRDefault="007456B3">
            <w:pPr>
              <w:jc w:val="right"/>
              <w:rPr>
                <w:rFonts w:ascii="Calibri" w:hAnsi="Calibri"/>
                <w:color w:val="000000"/>
              </w:rPr>
            </w:pPr>
            <w:r>
              <w:rPr>
                <w:rFonts w:ascii="Calibri" w:hAnsi="Calibri"/>
                <w:color w:val="000000"/>
              </w:rPr>
              <w:t>0.07835</w:t>
            </w:r>
          </w:p>
        </w:tc>
        <w:tc>
          <w:tcPr>
            <w:tcW w:w="1186" w:type="dxa"/>
            <w:noWrap/>
            <w:hideMark/>
          </w:tcPr>
          <w:p w:rsidR="007456B3" w:rsidRDefault="007456B3">
            <w:pPr>
              <w:jc w:val="right"/>
              <w:rPr>
                <w:rFonts w:ascii="Calibri" w:hAnsi="Calibri"/>
                <w:color w:val="000000"/>
              </w:rPr>
            </w:pPr>
            <w:r>
              <w:rPr>
                <w:rFonts w:ascii="Calibri" w:hAnsi="Calibri"/>
                <w:color w:val="000000"/>
              </w:rPr>
              <w:t>-0.00265</w:t>
            </w:r>
          </w:p>
        </w:tc>
      </w:tr>
      <w:tr w:rsidR="007456B3" w:rsidTr="00676A51">
        <w:trPr>
          <w:trHeight w:val="300"/>
          <w:jc w:val="center"/>
        </w:trPr>
        <w:tc>
          <w:tcPr>
            <w:tcW w:w="1607" w:type="dxa"/>
            <w:noWrap/>
            <w:hideMark/>
          </w:tcPr>
          <w:p w:rsidR="007456B3" w:rsidRDefault="007456B3">
            <w:pPr>
              <w:rPr>
                <w:rFonts w:ascii="Calibri" w:hAnsi="Calibri"/>
                <w:color w:val="000000"/>
              </w:rPr>
            </w:pPr>
            <w:r>
              <w:rPr>
                <w:rFonts w:ascii="Calibri" w:hAnsi="Calibri"/>
                <w:color w:val="000000"/>
              </w:rPr>
              <w:t>Equally Weighted</w:t>
            </w:r>
          </w:p>
        </w:tc>
        <w:tc>
          <w:tcPr>
            <w:tcW w:w="1053" w:type="dxa"/>
            <w:noWrap/>
            <w:hideMark/>
          </w:tcPr>
          <w:p w:rsidR="007456B3" w:rsidRDefault="007456B3">
            <w:pPr>
              <w:jc w:val="right"/>
              <w:rPr>
                <w:rFonts w:ascii="Calibri" w:hAnsi="Calibri"/>
                <w:color w:val="000000"/>
              </w:rPr>
            </w:pPr>
            <w:r>
              <w:rPr>
                <w:rFonts w:ascii="Calibri" w:hAnsi="Calibri"/>
                <w:color w:val="000000"/>
              </w:rPr>
              <w:t>0.386151</w:t>
            </w:r>
          </w:p>
        </w:tc>
        <w:tc>
          <w:tcPr>
            <w:tcW w:w="1053" w:type="dxa"/>
            <w:noWrap/>
            <w:hideMark/>
          </w:tcPr>
          <w:p w:rsidR="007456B3" w:rsidRDefault="007456B3">
            <w:pPr>
              <w:jc w:val="right"/>
              <w:rPr>
                <w:rFonts w:ascii="Calibri" w:hAnsi="Calibri"/>
                <w:color w:val="000000"/>
              </w:rPr>
            </w:pPr>
            <w:r>
              <w:rPr>
                <w:rFonts w:ascii="Calibri" w:hAnsi="Calibri"/>
                <w:color w:val="000000"/>
              </w:rPr>
              <w:t>4.354399</w:t>
            </w:r>
          </w:p>
        </w:tc>
        <w:tc>
          <w:tcPr>
            <w:tcW w:w="1053" w:type="dxa"/>
            <w:noWrap/>
            <w:hideMark/>
          </w:tcPr>
          <w:p w:rsidR="007456B3" w:rsidRDefault="007456B3">
            <w:pPr>
              <w:jc w:val="right"/>
              <w:rPr>
                <w:rFonts w:ascii="Calibri" w:hAnsi="Calibri"/>
                <w:color w:val="000000"/>
              </w:rPr>
            </w:pPr>
            <w:r>
              <w:rPr>
                <w:rFonts w:ascii="Calibri" w:hAnsi="Calibri"/>
                <w:color w:val="000000"/>
              </w:rPr>
              <w:t>-0.15352</w:t>
            </w:r>
          </w:p>
        </w:tc>
        <w:tc>
          <w:tcPr>
            <w:tcW w:w="960" w:type="dxa"/>
            <w:noWrap/>
            <w:hideMark/>
          </w:tcPr>
          <w:p w:rsidR="007456B3" w:rsidRDefault="007456B3">
            <w:pPr>
              <w:jc w:val="right"/>
              <w:rPr>
                <w:rFonts w:ascii="Calibri" w:hAnsi="Calibri"/>
                <w:color w:val="000000"/>
              </w:rPr>
            </w:pPr>
            <w:r>
              <w:rPr>
                <w:rFonts w:ascii="Calibri" w:hAnsi="Calibri"/>
                <w:color w:val="000000"/>
              </w:rPr>
              <w:t>0.01181</w:t>
            </w:r>
          </w:p>
        </w:tc>
        <w:tc>
          <w:tcPr>
            <w:tcW w:w="1186" w:type="dxa"/>
            <w:noWrap/>
            <w:hideMark/>
          </w:tcPr>
          <w:p w:rsidR="007456B3" w:rsidRDefault="007456B3">
            <w:pPr>
              <w:jc w:val="right"/>
              <w:rPr>
                <w:rFonts w:ascii="Calibri" w:hAnsi="Calibri"/>
                <w:color w:val="000000"/>
              </w:rPr>
            </w:pPr>
            <w:r>
              <w:rPr>
                <w:rFonts w:ascii="Calibri" w:hAnsi="Calibri"/>
                <w:color w:val="000000"/>
              </w:rPr>
              <w:t>-0.00724</w:t>
            </w:r>
          </w:p>
        </w:tc>
      </w:tr>
    </w:tbl>
    <w:p w:rsidR="00A15325" w:rsidRDefault="00A15325" w:rsidP="00A15325"/>
    <w:p w:rsidR="00150D30" w:rsidRDefault="002C6959" w:rsidP="00A15325">
      <w:proofErr w:type="gramStart"/>
      <w:r>
        <w:t xml:space="preserve">The </w:t>
      </w:r>
      <w:r w:rsidR="00285797">
        <w:t>initial results of our paper concern period from 1999 till 2013.</w:t>
      </w:r>
      <w:proofErr w:type="gramEnd"/>
      <w:r w:rsidR="00285797">
        <w:t xml:space="preserve"> Since the number of PE firms changes considerably during this period, the portfolio is rebalanced daily to ensure that the results represent the actual performance of LPE in Germany to a sufficient extent. The historical results over the 14 year period barely suggest any </w:t>
      </w:r>
      <w:r w:rsidR="00BA4EFA">
        <w:t>k</w:t>
      </w:r>
      <w:r w:rsidR="00285797">
        <w:t xml:space="preserve">ind of abnormal performance for LPE. </w:t>
      </w:r>
      <w:r w:rsidR="00BA4EFA">
        <w:t>The Standard Deviation and mean returns for market-value portfolio are both considerably higher, yet Sharpe</w:t>
      </w:r>
      <w:r w:rsidR="00D75CD1">
        <w:t xml:space="preserve"> ratio suggests that both indices</w:t>
      </w:r>
      <w:r w:rsidR="000E36A4">
        <w:t xml:space="preserve"> considerably underperformed even risk-free returns. </w:t>
      </w:r>
      <w:r w:rsidR="00DE7383">
        <w:t>Both of the betas obtained are statistically significant</w:t>
      </w:r>
      <w:r w:rsidR="00F93492">
        <w:t xml:space="preserve"> at 95% level, yet both of the alphas, while observed to be negative, do not appear to be statistically significant for the sample</w:t>
      </w:r>
      <w:r w:rsidR="004D56CB">
        <w:t xml:space="preserve"> (Appendix 1)</w:t>
      </w:r>
      <w:r w:rsidR="00F93492">
        <w:t>.</w:t>
      </w:r>
      <w:r w:rsidR="00150D30">
        <w:t xml:space="preserve"> Hence, when choosing the best portfolio optimization strategy, equally weighted portfolio leads to less overall exposure to systematic risk and higher Sharpe ratio.</w:t>
      </w:r>
    </w:p>
    <w:p w:rsidR="00F21F92" w:rsidRDefault="00F21F92" w:rsidP="00A15325">
      <w:r>
        <w:t>Historical Data Annually</w:t>
      </w:r>
    </w:p>
    <w:p w:rsidR="00F21F92" w:rsidRDefault="00F21F92" w:rsidP="00A15325"/>
    <w:p w:rsidR="00F21F92" w:rsidRDefault="00F21F92" w:rsidP="00A15325">
      <w:r>
        <w:rPr>
          <w:noProof/>
          <w:lang w:val="lv-LV" w:eastAsia="lv-LV"/>
        </w:rPr>
        <w:drawing>
          <wp:anchor distT="0" distB="0" distL="114300" distR="114300" simplePos="0" relativeHeight="251658240" behindDoc="0" locked="0" layoutInCell="1" allowOverlap="1" wp14:anchorId="0D603C00" wp14:editId="3FEA91FC">
            <wp:simplePos x="0" y="0"/>
            <wp:positionH relativeFrom="column">
              <wp:posOffset>-723265</wp:posOffset>
            </wp:positionH>
            <wp:positionV relativeFrom="paragraph">
              <wp:posOffset>80645</wp:posOffset>
            </wp:positionV>
            <wp:extent cx="3795395" cy="2158365"/>
            <wp:effectExtent l="0" t="0" r="14605" b="133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noProof/>
          <w:lang w:val="lv-LV" w:eastAsia="lv-LV"/>
        </w:rPr>
        <w:drawing>
          <wp:inline distT="0" distB="0" distL="0" distR="0" wp14:anchorId="02B44CE5" wp14:editId="59F69966">
            <wp:extent cx="3732028" cy="2243470"/>
            <wp:effectExtent l="0" t="0" r="20955" b="234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50D30" w:rsidRDefault="00F21F92" w:rsidP="00A15325">
      <w:r>
        <w:t xml:space="preserve">When looking at annual historical data, volatility of both of the </w:t>
      </w:r>
      <w:proofErr w:type="spellStart"/>
      <w:r>
        <w:t>indecies</w:t>
      </w:r>
      <w:proofErr w:type="spellEnd"/>
      <w:r>
        <w:t xml:space="preserve"> has decreased over the years, which is most likely attributable to more LPE companies which does lead to higher diversification for the </w:t>
      </w:r>
      <w:r>
        <w:lastRenderedPageBreak/>
        <w:t xml:space="preserve">companies included in the index. While the returns for Market Weighted index tend to be higher, they also are also considerably more volatile. </w:t>
      </w:r>
    </w:p>
    <w:p w:rsidR="007456B3" w:rsidRDefault="00EC6DF0" w:rsidP="00A15325">
      <w:r>
        <w:rPr>
          <w:noProof/>
          <w:lang w:val="lv-LV" w:eastAsia="lv-LV"/>
        </w:rPr>
        <w:drawing>
          <wp:inline distT="0" distB="0" distL="0" distR="0" wp14:anchorId="625255C9" wp14:editId="0BB1F91B">
            <wp:extent cx="5422605" cy="2222205"/>
            <wp:effectExtent l="0" t="0" r="26035" b="260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E3F2A" w:rsidRDefault="00BE3F2A" w:rsidP="00A15325"/>
    <w:p w:rsidR="00F21F92" w:rsidRDefault="00F21F92" w:rsidP="00A15325">
      <w:r>
        <w:t>The historical Sharpe ratios seem to fluctuate more for Equal Weighted Index, which is contrary to what historical average might lead one to believe. Equal Weighted Index seems to perform worse during both, economic expansi</w:t>
      </w:r>
      <w:r w:rsidR="005352EE">
        <w:t>on and economic downturn cycles, while Market Weighted Index seems to over perform during economic growth cycles and only slightly underperform relatively to Equal Weighted Index.</w:t>
      </w:r>
    </w:p>
    <w:p w:rsidR="005352EE" w:rsidRDefault="005352EE" w:rsidP="00A15325">
      <w:r>
        <w:t>Because of the limitations of available data, the comparison of alphas and betas over historical period is the most problematic, as the results are often not statistically significant at 95% level.</w:t>
      </w:r>
    </w:p>
    <w:p w:rsidR="0061569B" w:rsidRDefault="00272B04" w:rsidP="00A15325">
      <w:r>
        <w:t>Limitations</w:t>
      </w:r>
    </w:p>
    <w:p w:rsidR="00272B04" w:rsidRDefault="00272B04" w:rsidP="00A15325">
      <w:r>
        <w:t>There are several things that should be addressed regarding the sample used above. Firstly, as pointed out earlier, the returns during IPOs tend to be overestimate the actual returns gained by a company because companies are often listed at a discount. To take this issue into account, we also estimate the same regressions by not including the first ten days of trading into our sample. The results are indistinguishable from the results we acquired above.</w:t>
      </w:r>
    </w:p>
    <w:p w:rsidR="00272B04" w:rsidRDefault="00272B04" w:rsidP="00A15325">
      <w:r>
        <w:t xml:space="preserve">Secondly, an objection about possibility of existence of several trends in our sample was addressed using Dickey Fuller test (Appendix 2). We find no indications that sample </w:t>
      </w:r>
      <w:proofErr w:type="gramStart"/>
      <w:r>
        <w:t>is</w:t>
      </w:r>
      <w:proofErr w:type="gramEnd"/>
      <w:r>
        <w:t xml:space="preserve"> bias in this way.</w:t>
      </w:r>
    </w:p>
    <w:p w:rsidR="00272B04" w:rsidRDefault="00272B04" w:rsidP="00A15325">
      <w:r>
        <w:t>Thirdly, while several authors have suggested that PE investments tend to suffer from significant autocorrelation</w:t>
      </w:r>
      <w:r w:rsidR="00E653BA">
        <w:t xml:space="preserve"> or cross correlation</w:t>
      </w:r>
      <w:r>
        <w:t xml:space="preserve"> between returns, we find no proof that this is the case with our sample by using </w:t>
      </w:r>
      <w:proofErr w:type="spellStart"/>
      <w:r>
        <w:t>corrgram</w:t>
      </w:r>
      <w:proofErr w:type="spellEnd"/>
      <w:r>
        <w:t xml:space="preserve"> test </w:t>
      </w:r>
      <w:r w:rsidR="00E653BA">
        <w:t xml:space="preserve">and directly testing cross correlation between market returns and constructed </w:t>
      </w:r>
      <w:proofErr w:type="spellStart"/>
      <w:r w:rsidR="00E653BA">
        <w:t>indecies</w:t>
      </w:r>
      <w:proofErr w:type="spellEnd"/>
      <w:r w:rsidR="00351025">
        <w:t xml:space="preserve"> </w:t>
      </w:r>
      <w:r>
        <w:t>(Appendix 3).</w:t>
      </w:r>
    </w:p>
    <w:p w:rsidR="00272B04" w:rsidRDefault="00272B04" w:rsidP="00A15325">
      <w:proofErr w:type="spellStart"/>
      <w:r>
        <w:lastRenderedPageBreak/>
        <w:t>Fourtly</w:t>
      </w:r>
      <w:proofErr w:type="spellEnd"/>
      <w:r>
        <w:t>, when using four-factor model, authors of the factors offer several possibilities in terms of factors that we can use. For our results, we use the factors that provide most statistical explanation for the results.</w:t>
      </w:r>
    </w:p>
    <w:p w:rsidR="00EB41D0" w:rsidRDefault="00EB41D0" w:rsidP="00EB41D0">
      <w:pPr>
        <w:pStyle w:val="Virsraksts3"/>
        <w:rPr>
          <w:lang w:val="en-US"/>
        </w:rPr>
      </w:pPr>
      <w:proofErr w:type="spellStart"/>
      <w:r>
        <w:rPr>
          <w:lang w:val="en-US"/>
        </w:rPr>
        <w:t>Markow</w:t>
      </w:r>
      <w:proofErr w:type="spellEnd"/>
      <w:r>
        <w:rPr>
          <w:lang w:val="en-US"/>
        </w:rPr>
        <w:t xml:space="preserve"> Switching Model</w:t>
      </w:r>
    </w:p>
    <w:p w:rsidR="00200847" w:rsidRDefault="00200847" w:rsidP="00200847">
      <w:pPr>
        <w:pStyle w:val="Virsraksts3"/>
        <w:rPr>
          <w:lang w:val="en-US"/>
        </w:rPr>
      </w:pPr>
      <w:r w:rsidRPr="001D1283">
        <w:rPr>
          <w:lang w:val="en-US"/>
        </w:rPr>
        <w:t>Dataset #1</w:t>
      </w:r>
    </w:p>
    <w:p w:rsidR="00200847" w:rsidRPr="008818CD" w:rsidRDefault="00200847" w:rsidP="00200847">
      <w:pPr>
        <w:rPr>
          <w:lang w:val="en-US"/>
        </w:rPr>
      </w:pPr>
      <w:r>
        <w:rPr>
          <w:lang w:val="en-US"/>
        </w:rPr>
        <w:t xml:space="preserve">Our best fit for dataset #1 is in the table below. As it is seen, mean value is precise only 2 digits after comma and for LPE is of by 0.6% or 30 times but from other side it is within 1.5 standard deviations. Standard deviation is rather precise by 2 digits after </w:t>
      </w:r>
      <w:proofErr w:type="gramStart"/>
      <w:r>
        <w:rPr>
          <w:lang w:val="en-US"/>
        </w:rPr>
        <w:t>comma,</w:t>
      </w:r>
      <w:proofErr w:type="gramEnd"/>
      <w:r>
        <w:rPr>
          <w:lang w:val="en-US"/>
        </w:rPr>
        <w:t xml:space="preserve"> variance-covariance matrix is very precise by 6 digits after comma. </w:t>
      </w:r>
      <w:proofErr w:type="spellStart"/>
      <w:r>
        <w:rPr>
          <w:lang w:val="en-US"/>
        </w:rPr>
        <w:t>Skewness</w:t>
      </w:r>
      <w:proofErr w:type="spellEnd"/>
      <w:r>
        <w:rPr>
          <w:lang w:val="en-US"/>
        </w:rPr>
        <w:t xml:space="preserve"> and autocorrelation is off by factor of 10 and Kurtosis is off by factor of 100. Relative precision can be controlled by coefficients in COLS and for Dataset #2 we raised relative weight for mean value.</w:t>
      </w:r>
    </w:p>
    <w:tbl>
      <w:tblPr>
        <w:tblW w:w="8261" w:type="dxa"/>
        <w:tblInd w:w="93" w:type="dxa"/>
        <w:tblLook w:val="04A0" w:firstRow="1" w:lastRow="0" w:firstColumn="1" w:lastColumn="0" w:noHBand="0" w:noVBand="1"/>
      </w:tblPr>
      <w:tblGrid>
        <w:gridCol w:w="1116"/>
        <w:gridCol w:w="1220"/>
        <w:gridCol w:w="1165"/>
        <w:gridCol w:w="1220"/>
        <w:gridCol w:w="1180"/>
        <w:gridCol w:w="1180"/>
        <w:gridCol w:w="1180"/>
      </w:tblGrid>
      <w:tr w:rsidR="00200847" w:rsidRPr="008818CD" w:rsidTr="00D838A4">
        <w:trPr>
          <w:trHeight w:val="300"/>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Statistical properties, Dataset #1</w:t>
            </w:r>
          </w:p>
        </w:tc>
        <w:tc>
          <w:tcPr>
            <w:tcW w:w="3540" w:type="dxa"/>
            <w:gridSpan w:val="3"/>
            <w:tcBorders>
              <w:top w:val="single" w:sz="4" w:space="0" w:color="auto"/>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Markov fitted properties, Dataset #1</w:t>
            </w:r>
          </w:p>
        </w:tc>
      </w:tr>
      <w:tr w:rsidR="00200847" w:rsidRPr="008818CD" w:rsidTr="00D838A4">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 </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GE LPE</w:t>
            </w:r>
          </w:p>
        </w:tc>
        <w:tc>
          <w:tcPr>
            <w:tcW w:w="1165"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GE Stocks</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GE Bonds</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GE LPE</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GE Stocks</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GE Bonds</w:t>
            </w:r>
          </w:p>
        </w:tc>
      </w:tr>
      <w:tr w:rsidR="00200847" w:rsidRPr="008818CD" w:rsidTr="00D838A4">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Mean</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0.000159</w:t>
            </w:r>
          </w:p>
        </w:tc>
        <w:tc>
          <w:tcPr>
            <w:tcW w:w="1165"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0.000175</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0.000012</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-0.006113</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0.000630</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-0.000277</w:t>
            </w:r>
          </w:p>
        </w:tc>
      </w:tr>
      <w:tr w:rsidR="00200847" w:rsidRPr="008818CD" w:rsidTr="00D838A4">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VCV (1)</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0.000023</w:t>
            </w:r>
          </w:p>
        </w:tc>
        <w:tc>
          <w:tcPr>
            <w:tcW w:w="1165"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0.000060</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-0.000003</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0.000001</w:t>
            </w:r>
          </w:p>
        </w:tc>
      </w:tr>
      <w:tr w:rsidR="00200847" w:rsidRPr="008818CD" w:rsidTr="00D838A4">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VCV (2)</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65"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0.000028</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-0.000003</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0.000060</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-0.000001</w:t>
            </w:r>
          </w:p>
        </w:tc>
      </w:tr>
      <w:tr w:rsidR="00200847" w:rsidRPr="008818CD" w:rsidTr="00D838A4">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VCV (3)</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65"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0.000001</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-0.000001</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0.000000</w:t>
            </w:r>
          </w:p>
        </w:tc>
      </w:tr>
      <w:tr w:rsidR="00200847" w:rsidRPr="008818CD" w:rsidTr="00D838A4">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proofErr w:type="spellStart"/>
            <w:r w:rsidRPr="008818CD">
              <w:rPr>
                <w:rFonts w:eastAsia="Times New Roman"/>
                <w:color w:val="000000"/>
                <w:lang w:eastAsia="lv-LV"/>
              </w:rPr>
              <w:t>St.dev</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0.004790</w:t>
            </w:r>
          </w:p>
        </w:tc>
        <w:tc>
          <w:tcPr>
            <w:tcW w:w="1165"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0.005273</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0.000315</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0.007726</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0.007734</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0.000449</w:t>
            </w:r>
          </w:p>
        </w:tc>
      </w:tr>
      <w:tr w:rsidR="00200847" w:rsidRPr="008818CD" w:rsidTr="00D838A4">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proofErr w:type="spellStart"/>
            <w:r w:rsidRPr="008818CD">
              <w:rPr>
                <w:rFonts w:eastAsia="Times New Roman"/>
                <w:color w:val="000000"/>
                <w:lang w:eastAsia="lv-LV"/>
              </w:rPr>
              <w:t>Skewness</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-1.581739</w:t>
            </w:r>
          </w:p>
        </w:tc>
        <w:tc>
          <w:tcPr>
            <w:tcW w:w="1165"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-0.533728</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-0.333150</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-0.074609</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-0.030972</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0.071477</w:t>
            </w:r>
          </w:p>
        </w:tc>
      </w:tr>
      <w:tr w:rsidR="00200847" w:rsidRPr="008818CD" w:rsidTr="00D838A4">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r w:rsidRPr="008818CD">
              <w:rPr>
                <w:rFonts w:eastAsia="Times New Roman"/>
                <w:color w:val="000000"/>
                <w:lang w:eastAsia="lv-LV"/>
              </w:rPr>
              <w:t>Kurtosis</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24.552038</w:t>
            </w:r>
          </w:p>
        </w:tc>
        <w:tc>
          <w:tcPr>
            <w:tcW w:w="1165"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6.345066</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26.810331</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0.222705</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-0.058676</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-0.011517</w:t>
            </w:r>
          </w:p>
        </w:tc>
      </w:tr>
      <w:tr w:rsidR="00200847" w:rsidRPr="008818CD" w:rsidTr="00D838A4">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rPr>
                <w:rFonts w:eastAsia="Times New Roman"/>
                <w:color w:val="000000"/>
                <w:lang w:eastAsia="lv-LV"/>
              </w:rPr>
            </w:pPr>
            <w:proofErr w:type="spellStart"/>
            <w:r w:rsidRPr="008818CD">
              <w:rPr>
                <w:rFonts w:eastAsia="Times New Roman"/>
                <w:color w:val="000000"/>
                <w:lang w:eastAsia="lv-LV"/>
              </w:rPr>
              <w:t>AutoCor</w:t>
            </w:r>
            <w:proofErr w:type="spellEnd"/>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-0.072788</w:t>
            </w:r>
          </w:p>
        </w:tc>
        <w:tc>
          <w:tcPr>
            <w:tcW w:w="1165"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0.126724</w:t>
            </w:r>
          </w:p>
        </w:tc>
        <w:tc>
          <w:tcPr>
            <w:tcW w:w="122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-0.366573</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-0.745823</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-0.575322</w:t>
            </w:r>
          </w:p>
        </w:tc>
        <w:tc>
          <w:tcPr>
            <w:tcW w:w="1180" w:type="dxa"/>
            <w:tcBorders>
              <w:top w:val="nil"/>
              <w:left w:val="nil"/>
              <w:bottom w:val="single" w:sz="4" w:space="0" w:color="auto"/>
              <w:right w:val="single" w:sz="4" w:space="0" w:color="auto"/>
            </w:tcBorders>
            <w:shd w:val="clear" w:color="auto" w:fill="auto"/>
            <w:noWrap/>
            <w:vAlign w:val="bottom"/>
            <w:hideMark/>
          </w:tcPr>
          <w:p w:rsidR="00200847" w:rsidRPr="008818CD" w:rsidRDefault="00200847" w:rsidP="00D838A4">
            <w:pPr>
              <w:spacing w:after="0" w:line="240" w:lineRule="auto"/>
              <w:jc w:val="right"/>
              <w:rPr>
                <w:rFonts w:eastAsia="Times New Roman"/>
                <w:color w:val="000000"/>
                <w:lang w:eastAsia="lv-LV"/>
              </w:rPr>
            </w:pPr>
            <w:r w:rsidRPr="008818CD">
              <w:rPr>
                <w:rFonts w:eastAsia="Times New Roman"/>
                <w:color w:val="000000"/>
                <w:lang w:eastAsia="lv-LV"/>
              </w:rPr>
              <w:t>-0.035191</w:t>
            </w:r>
          </w:p>
        </w:tc>
      </w:tr>
    </w:tbl>
    <w:p w:rsidR="00200847" w:rsidRDefault="00200847" w:rsidP="00200847">
      <w:pPr>
        <w:rPr>
          <w:lang w:val="en-US"/>
        </w:rPr>
      </w:pPr>
    </w:p>
    <w:p w:rsidR="00200847" w:rsidRDefault="00200847" w:rsidP="00200847">
      <w:pPr>
        <w:rPr>
          <w:lang w:val="en-US"/>
        </w:rPr>
      </w:pPr>
      <w:r>
        <w:rPr>
          <w:lang w:val="en-US"/>
        </w:rPr>
        <w:t xml:space="preserve">At first we see that unconditional probabilities to be in states are 38.4% and 61.6% but standard deviations are very similar, as well mean for LPE and Bonds. But mean return for Stocks are inverse, and all correlation changes between states. This suggest a time period where LPE and Bonds are indifferent, but Stocks have significant growing periods or falling periods and in this falling phase both LPE and Bonds move to opposite direction. Conditional probabilities show that being in state two one is more likely to stay in state two than being in state two. To sum up, </w:t>
      </w:r>
      <w:proofErr w:type="gramStart"/>
      <w:r>
        <w:rPr>
          <w:lang w:val="en-US"/>
        </w:rPr>
        <w:t>this don’t</w:t>
      </w:r>
      <w:proofErr w:type="gramEnd"/>
      <w:r>
        <w:rPr>
          <w:lang w:val="en-US"/>
        </w:rPr>
        <w:t xml:space="preserve"> look realistic but earned best COLS score.</w:t>
      </w:r>
    </w:p>
    <w:tbl>
      <w:tblPr>
        <w:tblW w:w="8261" w:type="dxa"/>
        <w:tblInd w:w="93" w:type="dxa"/>
        <w:tblLook w:val="04A0" w:firstRow="1" w:lastRow="0" w:firstColumn="1" w:lastColumn="0" w:noHBand="0" w:noVBand="1"/>
      </w:tblPr>
      <w:tblGrid>
        <w:gridCol w:w="1001"/>
        <w:gridCol w:w="1210"/>
        <w:gridCol w:w="1210"/>
        <w:gridCol w:w="1210"/>
        <w:gridCol w:w="1210"/>
        <w:gridCol w:w="1210"/>
        <w:gridCol w:w="1210"/>
      </w:tblGrid>
      <w:tr w:rsidR="00200847" w:rsidRPr="001D2DB2" w:rsidTr="00D838A4">
        <w:trPr>
          <w:trHeight w:val="300"/>
        </w:trPr>
        <w:tc>
          <w:tcPr>
            <w:tcW w:w="826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proofErr w:type="spellStart"/>
            <w:r w:rsidRPr="001D2DB2">
              <w:rPr>
                <w:rFonts w:eastAsia="Times New Roman"/>
                <w:color w:val="000000"/>
                <w:lang w:eastAsia="lv-LV"/>
              </w:rPr>
              <w:t>Markow</w:t>
            </w:r>
            <w:proofErr w:type="spellEnd"/>
            <w:r w:rsidRPr="001D2DB2">
              <w:rPr>
                <w:rFonts w:eastAsia="Times New Roman"/>
                <w:color w:val="000000"/>
                <w:lang w:eastAsia="lv-LV"/>
              </w:rPr>
              <w:t xml:space="preserve"> Autoregressive (lag 1) bivariate joint 3 asset model cond. </w:t>
            </w:r>
            <w:proofErr w:type="spellStart"/>
            <w:r w:rsidRPr="001D2DB2">
              <w:rPr>
                <w:rFonts w:eastAsia="Times New Roman"/>
                <w:color w:val="000000"/>
                <w:lang w:eastAsia="lv-LV"/>
              </w:rPr>
              <w:t>Params</w:t>
            </w:r>
            <w:proofErr w:type="spellEnd"/>
            <w:r w:rsidRPr="001D2DB2">
              <w:rPr>
                <w:rFonts w:eastAsia="Times New Roman"/>
                <w:color w:val="000000"/>
                <w:lang w:eastAsia="lv-LV"/>
              </w:rPr>
              <w:t>, Dataset#1</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proofErr w:type="spellStart"/>
            <w:proofErr w:type="gramStart"/>
            <w:r w:rsidRPr="001D2DB2">
              <w:rPr>
                <w:rFonts w:eastAsia="Times New Roman"/>
                <w:color w:val="000000"/>
                <w:lang w:eastAsia="lv-LV"/>
              </w:rPr>
              <w:t>uProb</w:t>
            </w:r>
            <w:proofErr w:type="spellEnd"/>
            <w:proofErr w:type="gramEnd"/>
            <w:r w:rsidRPr="001D2DB2">
              <w:rPr>
                <w:rFonts w:eastAsia="Times New Roman"/>
                <w:color w:val="000000"/>
                <w:lang w:eastAsia="lv-LV"/>
              </w:rPr>
              <w:t>.</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0.384234</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0.615766</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r w:rsidRPr="001D2DB2">
              <w:rPr>
                <w:rFonts w:eastAsia="Times New Roman"/>
                <w:color w:val="000000"/>
                <w:lang w:eastAsia="lv-LV"/>
              </w:rPr>
              <w:t> </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proofErr w:type="spellStart"/>
            <w:r w:rsidRPr="001D2DB2">
              <w:rPr>
                <w:rFonts w:eastAsia="Times New Roman"/>
                <w:color w:val="000000"/>
                <w:lang w:eastAsia="lv-LV"/>
              </w:rPr>
              <w:t>Prob</w:t>
            </w:r>
            <w:proofErr w:type="spellEnd"/>
            <w:r w:rsidRPr="001D2DB2">
              <w:rPr>
                <w:rFonts w:eastAsia="Times New Roman"/>
                <w:color w:val="000000"/>
                <w:lang w:eastAsia="lv-LV"/>
              </w:rPr>
              <w:t xml:space="preserve"> (1)</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0.395610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0.604390</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proofErr w:type="spellStart"/>
            <w:r w:rsidRPr="001D2DB2">
              <w:rPr>
                <w:rFonts w:eastAsia="Times New Roman"/>
                <w:color w:val="000000"/>
                <w:lang w:eastAsia="lv-LV"/>
              </w:rPr>
              <w:t>AutoCor</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-0.755549</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-0.688452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-0.040442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proofErr w:type="spellStart"/>
            <w:r w:rsidRPr="001D2DB2">
              <w:rPr>
                <w:rFonts w:eastAsia="Times New Roman"/>
                <w:color w:val="000000"/>
                <w:lang w:eastAsia="lv-LV"/>
              </w:rPr>
              <w:t>Prob</w:t>
            </w:r>
            <w:proofErr w:type="spellEnd"/>
            <w:r w:rsidRPr="001D2DB2">
              <w:rPr>
                <w:rFonts w:eastAsia="Times New Roman"/>
                <w:color w:val="000000"/>
                <w:lang w:eastAsia="lv-LV"/>
              </w:rPr>
              <w:t xml:space="preserve"> (2)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0.377136</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0.622864</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r w:rsidRPr="001D2DB2">
              <w:rPr>
                <w:rFonts w:eastAsia="Times New Roman"/>
                <w:color w:val="000000"/>
                <w:lang w:eastAsia="lv-LV"/>
              </w:rPr>
              <w:t> </w:t>
            </w:r>
          </w:p>
        </w:tc>
        <w:tc>
          <w:tcPr>
            <w:tcW w:w="363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200847" w:rsidRPr="001D2DB2" w:rsidRDefault="00200847" w:rsidP="00D838A4">
            <w:pPr>
              <w:spacing w:after="0" w:line="240" w:lineRule="auto"/>
              <w:jc w:val="center"/>
              <w:rPr>
                <w:rFonts w:eastAsia="Times New Roman"/>
                <w:color w:val="000000"/>
                <w:lang w:eastAsia="lv-LV"/>
              </w:rPr>
            </w:pPr>
            <w:r w:rsidRPr="001D2DB2">
              <w:rPr>
                <w:rFonts w:eastAsia="Times New Roman"/>
                <w:color w:val="000000"/>
                <w:lang w:eastAsia="lv-LV"/>
              </w:rPr>
              <w:t>State 1</w:t>
            </w:r>
          </w:p>
        </w:tc>
        <w:tc>
          <w:tcPr>
            <w:tcW w:w="363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200847" w:rsidRPr="001D2DB2" w:rsidRDefault="00200847" w:rsidP="00D838A4">
            <w:pPr>
              <w:spacing w:after="0" w:line="240" w:lineRule="auto"/>
              <w:jc w:val="center"/>
              <w:rPr>
                <w:rFonts w:eastAsia="Times New Roman"/>
                <w:color w:val="000000"/>
                <w:lang w:eastAsia="lv-LV"/>
              </w:rPr>
            </w:pPr>
            <w:r w:rsidRPr="001D2DB2">
              <w:rPr>
                <w:rFonts w:eastAsia="Times New Roman"/>
                <w:color w:val="000000"/>
                <w:lang w:eastAsia="lv-LV"/>
              </w:rPr>
              <w:t>State2</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r w:rsidRPr="001D2DB2">
              <w:rPr>
                <w:rFonts w:eastAsia="Times New Roman"/>
                <w:color w:val="000000"/>
                <w:lang w:eastAsia="lv-LV"/>
              </w:rPr>
              <w:t>Mean</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-0.007210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0.004547</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-0.000447</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-0.005429</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-0.001814</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-0.000172</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proofErr w:type="spellStart"/>
            <w:r w:rsidRPr="001D2DB2">
              <w:rPr>
                <w:rFonts w:eastAsia="Times New Roman"/>
                <w:color w:val="000000"/>
                <w:lang w:eastAsia="lv-LV"/>
              </w:rPr>
              <w:t>Cor</w:t>
            </w:r>
            <w:proofErr w:type="spellEnd"/>
            <w:r w:rsidRPr="001D2DB2">
              <w:rPr>
                <w:rFonts w:eastAsia="Times New Roman"/>
                <w:color w:val="000000"/>
                <w:lang w:eastAsia="lv-LV"/>
              </w:rPr>
              <w:t xml:space="preserve"> (1)</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0.581946</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0.828801</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-0.564372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-0.181633</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proofErr w:type="spellStart"/>
            <w:r w:rsidRPr="001D2DB2">
              <w:rPr>
                <w:rFonts w:eastAsia="Times New Roman"/>
                <w:color w:val="000000"/>
                <w:lang w:eastAsia="lv-LV"/>
              </w:rPr>
              <w:t>Cor</w:t>
            </w:r>
            <w:proofErr w:type="spellEnd"/>
            <w:r w:rsidRPr="001D2DB2">
              <w:rPr>
                <w:rFonts w:eastAsia="Times New Roman"/>
                <w:color w:val="000000"/>
                <w:lang w:eastAsia="lv-LV"/>
              </w:rPr>
              <w:t xml:space="preserve"> (2)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0.581946</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-0.129448</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-0.564372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-0.397085</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proofErr w:type="spellStart"/>
            <w:r w:rsidRPr="001D2DB2">
              <w:rPr>
                <w:rFonts w:eastAsia="Times New Roman"/>
                <w:color w:val="000000"/>
                <w:lang w:eastAsia="lv-LV"/>
              </w:rPr>
              <w:t>Cor</w:t>
            </w:r>
            <w:proofErr w:type="spellEnd"/>
            <w:r w:rsidRPr="001D2DB2">
              <w:rPr>
                <w:rFonts w:eastAsia="Times New Roman"/>
                <w:color w:val="000000"/>
                <w:lang w:eastAsia="lv-LV"/>
              </w:rPr>
              <w:t xml:space="preserve"> (3)</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0.828801</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-0.129448</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-0.181633</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-0.397085</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1.000000</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r w:rsidRPr="001D2DB2">
              <w:rPr>
                <w:rFonts w:eastAsia="Times New Roman"/>
                <w:color w:val="000000"/>
                <w:lang w:eastAsia="lv-LV"/>
              </w:rPr>
              <w:t>VCV (1)</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0.000042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0.000018</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0.000015</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-0.000012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0.000000</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r w:rsidRPr="001D2DB2">
              <w:rPr>
                <w:rFonts w:eastAsia="Times New Roman"/>
                <w:color w:val="000000"/>
                <w:lang w:eastAsia="lv-LV"/>
              </w:rPr>
              <w:lastRenderedPageBreak/>
              <w:t>VCV (2)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0.000018</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0.000023</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-0.000012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0.000029</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-0.000001</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r w:rsidRPr="001D2DB2">
              <w:rPr>
                <w:rFonts w:eastAsia="Times New Roman"/>
                <w:color w:val="000000"/>
                <w:lang w:eastAsia="lv-LV"/>
              </w:rPr>
              <w:t>VCV (3)</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0.000002</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-0.000001</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0.000000</w:t>
            </w:r>
          </w:p>
        </w:tc>
      </w:tr>
      <w:tr w:rsidR="00200847" w:rsidRPr="001D2DB2" w:rsidTr="00D838A4">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rPr>
                <w:rFonts w:eastAsia="Times New Roman"/>
                <w:color w:val="000000"/>
                <w:lang w:eastAsia="lv-LV"/>
              </w:rPr>
            </w:pPr>
            <w:proofErr w:type="spellStart"/>
            <w:r w:rsidRPr="001D2DB2">
              <w:rPr>
                <w:rFonts w:eastAsia="Times New Roman"/>
                <w:color w:val="000000"/>
                <w:lang w:eastAsia="lv-LV"/>
              </w:rPr>
              <w:t>St.dev</w:t>
            </w:r>
            <w:proofErr w:type="spellEnd"/>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0.006460</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0.004753</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0.000399</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0.003878</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0.005369</w:t>
            </w:r>
          </w:p>
        </w:tc>
        <w:tc>
          <w:tcPr>
            <w:tcW w:w="1210" w:type="dxa"/>
            <w:tcBorders>
              <w:top w:val="nil"/>
              <w:left w:val="nil"/>
              <w:bottom w:val="single" w:sz="4" w:space="0" w:color="auto"/>
              <w:right w:val="single" w:sz="4" w:space="0" w:color="auto"/>
            </w:tcBorders>
            <w:shd w:val="clear" w:color="auto" w:fill="auto"/>
            <w:noWrap/>
            <w:vAlign w:val="bottom"/>
            <w:hideMark/>
          </w:tcPr>
          <w:p w:rsidR="00200847" w:rsidRPr="001D2DB2" w:rsidRDefault="00200847" w:rsidP="00D838A4">
            <w:pPr>
              <w:spacing w:after="0" w:line="240" w:lineRule="auto"/>
              <w:jc w:val="right"/>
              <w:rPr>
                <w:rFonts w:eastAsia="Times New Roman"/>
                <w:color w:val="000000"/>
                <w:lang w:eastAsia="lv-LV"/>
              </w:rPr>
            </w:pPr>
            <w:r w:rsidRPr="001D2DB2">
              <w:rPr>
                <w:rFonts w:eastAsia="Times New Roman"/>
                <w:color w:val="000000"/>
                <w:lang w:eastAsia="lv-LV"/>
              </w:rPr>
              <w:t>0.000445</w:t>
            </w:r>
          </w:p>
        </w:tc>
      </w:tr>
    </w:tbl>
    <w:p w:rsidR="00200847" w:rsidRPr="00200847" w:rsidRDefault="00200847" w:rsidP="00200847">
      <w:pPr>
        <w:rPr>
          <w:lang w:val="en-US"/>
        </w:rPr>
      </w:pPr>
    </w:p>
    <w:p w:rsidR="00EB41D0" w:rsidRDefault="00EB41D0" w:rsidP="00EB41D0">
      <w:pPr>
        <w:pStyle w:val="Virsraksts3"/>
        <w:rPr>
          <w:lang w:val="en-US"/>
        </w:rPr>
      </w:pPr>
      <w:r>
        <w:rPr>
          <w:lang w:val="en-US"/>
        </w:rPr>
        <w:t>Dataset #2</w:t>
      </w:r>
    </w:p>
    <w:p w:rsidR="00EB41D0" w:rsidRDefault="00EB41D0" w:rsidP="00EB41D0">
      <w:pPr>
        <w:rPr>
          <w:lang w:val="en-US"/>
        </w:rPr>
      </w:pPr>
      <w:r>
        <w:rPr>
          <w:lang w:val="en-US"/>
        </w:rPr>
        <w:t>Below is output of best fit for</w:t>
      </w:r>
      <w:r w:rsidR="00692562">
        <w:rPr>
          <w:lang w:val="en-US"/>
        </w:rPr>
        <w:t xml:space="preserve"> the</w:t>
      </w:r>
      <w:r>
        <w:rPr>
          <w:lang w:val="en-US"/>
        </w:rPr>
        <w:t xml:space="preserve"> 2</w:t>
      </w:r>
      <w:r>
        <w:rPr>
          <w:vertAlign w:val="superscript"/>
          <w:lang w:val="en-US"/>
        </w:rPr>
        <w:t>nd</w:t>
      </w:r>
      <w:r>
        <w:rPr>
          <w:lang w:val="en-US"/>
        </w:rPr>
        <w:t xml:space="preserve"> dataset.</w:t>
      </w:r>
      <w:r w:rsidR="00B90C7C">
        <w:rPr>
          <w:lang w:val="en-US"/>
        </w:rPr>
        <w:t xml:space="preserve"> The aim of the model is to match the unconditional characteristics of those generated by the model to the best possible extent.</w:t>
      </w:r>
      <w:r>
        <w:rPr>
          <w:lang w:val="en-US"/>
        </w:rPr>
        <w:t xml:space="preserve"> We can see that mea</w:t>
      </w:r>
      <w:r w:rsidR="00692562">
        <w:rPr>
          <w:lang w:val="en-US"/>
        </w:rPr>
        <w:t>n and standard deviation both match up to four decimal points</w:t>
      </w:r>
      <w:r>
        <w:rPr>
          <w:lang w:val="en-US"/>
        </w:rPr>
        <w:t xml:space="preserve">, </w:t>
      </w:r>
      <w:proofErr w:type="spellStart"/>
      <w:r>
        <w:rPr>
          <w:lang w:val="en-US"/>
        </w:rPr>
        <w:t>skewness</w:t>
      </w:r>
      <w:proofErr w:type="spellEnd"/>
      <w:r>
        <w:rPr>
          <w:lang w:val="en-US"/>
        </w:rPr>
        <w:t xml:space="preserve"> and auto-correlation </w:t>
      </w:r>
      <w:r w:rsidR="00692562">
        <w:rPr>
          <w:lang w:val="en-US"/>
        </w:rPr>
        <w:t>approximately 10 times more different, and</w:t>
      </w:r>
      <w:r w:rsidR="00B90C7C">
        <w:rPr>
          <w:lang w:val="en-US"/>
        </w:rPr>
        <w:t xml:space="preserve"> kurtosis does</w:t>
      </w:r>
      <w:r>
        <w:rPr>
          <w:lang w:val="en-US"/>
        </w:rPr>
        <w:t xml:space="preserve"> match at all. As we discussed above</w:t>
      </w:r>
      <w:r w:rsidR="008D6FA0">
        <w:rPr>
          <w:lang w:val="en-US"/>
        </w:rPr>
        <w:t>,</w:t>
      </w:r>
      <w:r>
        <w:rPr>
          <w:lang w:val="en-US"/>
        </w:rPr>
        <w:t xml:space="preserve"> </w:t>
      </w:r>
      <w:r w:rsidR="008D6FA0">
        <w:rPr>
          <w:lang w:val="en-US"/>
        </w:rPr>
        <w:t xml:space="preserve">although </w:t>
      </w:r>
      <w:r>
        <w:rPr>
          <w:lang w:val="en-US"/>
        </w:rPr>
        <w:t>we</w:t>
      </w:r>
      <w:r w:rsidR="008D6FA0">
        <w:rPr>
          <w:lang w:val="en-US"/>
        </w:rPr>
        <w:t>ights for COLS significantly affect this relative precision, the also improve the ove</w:t>
      </w:r>
      <w:r w:rsidR="00CC65C6">
        <w:rPr>
          <w:lang w:val="en-US"/>
        </w:rPr>
        <w:t>rall fitness of the whole model, thus producing more significant results.</w:t>
      </w:r>
    </w:p>
    <w:tbl>
      <w:tblPr>
        <w:tblW w:w="8180" w:type="dxa"/>
        <w:tblInd w:w="93" w:type="dxa"/>
        <w:tblLook w:val="04A0" w:firstRow="1" w:lastRow="0" w:firstColumn="1" w:lastColumn="0" w:noHBand="0" w:noVBand="1"/>
      </w:tblPr>
      <w:tblGrid>
        <w:gridCol w:w="1097"/>
        <w:gridCol w:w="1199"/>
        <w:gridCol w:w="1145"/>
        <w:gridCol w:w="1199"/>
        <w:gridCol w:w="1180"/>
        <w:gridCol w:w="1180"/>
        <w:gridCol w:w="1180"/>
      </w:tblGrid>
      <w:tr w:rsidR="00EB41D0" w:rsidTr="00EB41D0">
        <w:trPr>
          <w:trHeight w:val="300"/>
        </w:trPr>
        <w:tc>
          <w:tcPr>
            <w:tcW w:w="4640" w:type="dxa"/>
            <w:gridSpan w:val="4"/>
            <w:tcBorders>
              <w:top w:val="single" w:sz="4" w:space="0" w:color="auto"/>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Statistical properties</w:t>
            </w:r>
          </w:p>
        </w:tc>
        <w:tc>
          <w:tcPr>
            <w:tcW w:w="3540" w:type="dxa"/>
            <w:gridSpan w:val="3"/>
            <w:tcBorders>
              <w:top w:val="single" w:sz="4" w:space="0" w:color="auto"/>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Markov fitted properties</w:t>
            </w:r>
          </w:p>
        </w:tc>
      </w:tr>
      <w:tr w:rsidR="00EB41D0" w:rsidTr="00EB41D0">
        <w:trPr>
          <w:trHeight w:val="300"/>
        </w:trPr>
        <w:tc>
          <w:tcPr>
            <w:tcW w:w="1097"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 </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LPE</w:t>
            </w:r>
          </w:p>
        </w:tc>
        <w:tc>
          <w:tcPr>
            <w:tcW w:w="1145"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Stocks</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Bonds</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LPE</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Stocks</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Bonds</w:t>
            </w:r>
          </w:p>
        </w:tc>
      </w:tr>
      <w:tr w:rsidR="00EB41D0" w:rsidTr="00EB41D0">
        <w:trPr>
          <w:trHeight w:val="300"/>
        </w:trPr>
        <w:tc>
          <w:tcPr>
            <w:tcW w:w="1097"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Mean</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0.000104</w:t>
            </w:r>
          </w:p>
        </w:tc>
        <w:tc>
          <w:tcPr>
            <w:tcW w:w="1145"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0.000075</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0.000042</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0.000158</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-0.000046</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0.000086</w:t>
            </w:r>
          </w:p>
        </w:tc>
      </w:tr>
      <w:tr w:rsidR="00EB41D0" w:rsidTr="00EB41D0">
        <w:trPr>
          <w:trHeight w:val="300"/>
        </w:trPr>
        <w:tc>
          <w:tcPr>
            <w:tcW w:w="1097"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VCV (1)</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0.033534</w:t>
            </w:r>
          </w:p>
        </w:tc>
        <w:tc>
          <w:tcPr>
            <w:tcW w:w="1145"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-0.000018</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-0.000001</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0.033545</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-0.000054</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-0.000024</w:t>
            </w:r>
          </w:p>
        </w:tc>
      </w:tr>
      <w:tr w:rsidR="00EB41D0" w:rsidTr="00EB41D0">
        <w:trPr>
          <w:trHeight w:val="300"/>
        </w:trPr>
        <w:tc>
          <w:tcPr>
            <w:tcW w:w="1097"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VCV (2)</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-0.000018</w:t>
            </w:r>
          </w:p>
        </w:tc>
        <w:tc>
          <w:tcPr>
            <w:tcW w:w="1145"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0.000044</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-0.000054</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0.000048</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w:t>
            </w:r>
          </w:p>
        </w:tc>
      </w:tr>
      <w:tr w:rsidR="00EB41D0" w:rsidTr="00EB41D0">
        <w:trPr>
          <w:trHeight w:val="300"/>
        </w:trPr>
        <w:tc>
          <w:tcPr>
            <w:tcW w:w="1097"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VCV (3)</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-0.000001</w:t>
            </w:r>
          </w:p>
        </w:tc>
        <w:tc>
          <w:tcPr>
            <w:tcW w:w="1145"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-0.000024</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w:t>
            </w:r>
          </w:p>
        </w:tc>
      </w:tr>
      <w:tr w:rsidR="00EB41D0" w:rsidTr="00EB41D0">
        <w:trPr>
          <w:trHeight w:val="300"/>
        </w:trPr>
        <w:tc>
          <w:tcPr>
            <w:tcW w:w="1097"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St.dev</w:t>
            </w:r>
            <w:proofErr w:type="spellEnd"/>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0.183122</w:t>
            </w:r>
          </w:p>
        </w:tc>
        <w:tc>
          <w:tcPr>
            <w:tcW w:w="1145"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0.006658</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0.000211</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0.183152</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0.006932</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0.000221</w:t>
            </w:r>
          </w:p>
        </w:tc>
      </w:tr>
      <w:tr w:rsidR="00EB41D0" w:rsidTr="00EB41D0">
        <w:trPr>
          <w:trHeight w:val="300"/>
        </w:trPr>
        <w:tc>
          <w:tcPr>
            <w:tcW w:w="1097"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Skewness</w:t>
            </w:r>
            <w:proofErr w:type="spellEnd"/>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-0.359429</w:t>
            </w:r>
          </w:p>
        </w:tc>
        <w:tc>
          <w:tcPr>
            <w:tcW w:w="1145"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-0.013262</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0.151860</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-0.232509</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-0.002668</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0.327011</w:t>
            </w:r>
          </w:p>
        </w:tc>
      </w:tr>
      <w:tr w:rsidR="00EB41D0" w:rsidTr="00EB41D0">
        <w:trPr>
          <w:trHeight w:val="300"/>
        </w:trPr>
        <w:tc>
          <w:tcPr>
            <w:tcW w:w="1097"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Kurtosis</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20.092276</w:t>
            </w:r>
          </w:p>
        </w:tc>
        <w:tc>
          <w:tcPr>
            <w:tcW w:w="1145"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7.412959</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34.388661</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-0.335328</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0.000595</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0.193181</w:t>
            </w:r>
          </w:p>
        </w:tc>
      </w:tr>
      <w:tr w:rsidR="00EB41D0" w:rsidTr="00EB41D0">
        <w:trPr>
          <w:trHeight w:val="300"/>
        </w:trPr>
        <w:tc>
          <w:tcPr>
            <w:tcW w:w="1097"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AutoCor</w:t>
            </w:r>
            <w:proofErr w:type="spellEnd"/>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-0.271805</w:t>
            </w:r>
          </w:p>
        </w:tc>
        <w:tc>
          <w:tcPr>
            <w:tcW w:w="1145"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-0.019537</w:t>
            </w:r>
          </w:p>
        </w:tc>
        <w:tc>
          <w:tcPr>
            <w:tcW w:w="1199"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-0.152000</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0.087494</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0.105883</w:t>
            </w:r>
          </w:p>
        </w:tc>
        <w:tc>
          <w:tcPr>
            <w:tcW w:w="118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0.225368</w:t>
            </w:r>
          </w:p>
        </w:tc>
      </w:tr>
    </w:tbl>
    <w:p w:rsidR="00EB41D0" w:rsidRDefault="00EB41D0" w:rsidP="00EB41D0">
      <w:pPr>
        <w:rPr>
          <w:rFonts w:ascii="Calibri" w:hAnsi="Calibri"/>
          <w:lang w:val="en-US"/>
        </w:rPr>
      </w:pPr>
    </w:p>
    <w:p w:rsidR="009213BB" w:rsidRDefault="003149F3" w:rsidP="00EB41D0">
      <w:pPr>
        <w:rPr>
          <w:lang w:val="en-US"/>
        </w:rPr>
      </w:pPr>
      <w:r>
        <w:rPr>
          <w:lang w:val="en-US"/>
        </w:rPr>
        <w:t xml:space="preserve">The </w:t>
      </w:r>
      <w:r w:rsidR="00EB41D0">
        <w:rPr>
          <w:lang w:val="en-US"/>
        </w:rPr>
        <w:t>unconditional probabilities</w:t>
      </w:r>
      <w:r>
        <w:rPr>
          <w:lang w:val="en-US"/>
        </w:rPr>
        <w:t xml:space="preserve"> estimated by the model below</w:t>
      </w:r>
      <w:r w:rsidR="00EB41D0">
        <w:rPr>
          <w:lang w:val="en-US"/>
        </w:rPr>
        <w:t xml:space="preserve"> are 53.45</w:t>
      </w:r>
      <w:r>
        <w:rPr>
          <w:lang w:val="en-US"/>
        </w:rPr>
        <w:t>% and 46.55% and both states have significantly</w:t>
      </w:r>
      <w:r w:rsidR="00EB41D0">
        <w:rPr>
          <w:lang w:val="en-US"/>
        </w:rPr>
        <w:t xml:space="preserve"> different properties. In conditional probability matrix </w:t>
      </w:r>
      <w:r>
        <w:rPr>
          <w:lang w:val="en-US"/>
        </w:rPr>
        <w:t>these states have significant</w:t>
      </w:r>
      <w:r w:rsidR="00EB41D0">
        <w:rPr>
          <w:lang w:val="en-US"/>
        </w:rPr>
        <w:t xml:space="preserve"> chance</w:t>
      </w:r>
      <w:r>
        <w:rPr>
          <w:lang w:val="en-US"/>
        </w:rPr>
        <w:t>s to alter</w:t>
      </w:r>
      <w:r w:rsidR="00EB41D0">
        <w:rPr>
          <w:lang w:val="en-US"/>
        </w:rPr>
        <w:t xml:space="preserve"> and first state is more stable than second state. The greatest </w:t>
      </w:r>
      <w:r>
        <w:rPr>
          <w:lang w:val="en-US"/>
        </w:rPr>
        <w:t xml:space="preserve">observable difference exists for mean return of </w:t>
      </w:r>
      <w:proofErr w:type="gramStart"/>
      <w:r>
        <w:rPr>
          <w:lang w:val="en-US"/>
        </w:rPr>
        <w:t>LPE .</w:t>
      </w:r>
      <w:proofErr w:type="gramEnd"/>
      <w:r>
        <w:rPr>
          <w:lang w:val="en-US"/>
        </w:rPr>
        <w:t xml:space="preserve"> In first state it is grows</w:t>
      </w:r>
      <w:r w:rsidR="00EB41D0">
        <w:rPr>
          <w:lang w:val="en-US"/>
        </w:rPr>
        <w:t xml:space="preserve"> at</w:t>
      </w:r>
      <w:r>
        <w:rPr>
          <w:lang w:val="en-US"/>
        </w:rPr>
        <w:t xml:space="preserve"> the rate 11.47% but in second falls at the rate </w:t>
      </w:r>
      <w:proofErr w:type="gramStart"/>
      <w:r>
        <w:rPr>
          <w:lang w:val="en-US"/>
        </w:rPr>
        <w:t>of  -</w:t>
      </w:r>
      <w:proofErr w:type="gramEnd"/>
      <w:r>
        <w:rPr>
          <w:lang w:val="en-US"/>
        </w:rPr>
        <w:t xml:space="preserve">13.14%. The situations for other assets are </w:t>
      </w:r>
      <w:r w:rsidR="007B5B8A">
        <w:rPr>
          <w:lang w:val="en-US"/>
        </w:rPr>
        <w:t>opposite</w:t>
      </w:r>
      <w:r>
        <w:rPr>
          <w:lang w:val="en-US"/>
        </w:rPr>
        <w:t xml:space="preserve">. </w:t>
      </w:r>
    </w:p>
    <w:p w:rsidR="00EB41D0" w:rsidRDefault="00EB41D0" w:rsidP="00EB41D0">
      <w:pPr>
        <w:rPr>
          <w:lang w:val="en-US"/>
        </w:rPr>
      </w:pPr>
      <w:r>
        <w:rPr>
          <w:lang w:val="en-US"/>
        </w:rPr>
        <w:t xml:space="preserve">Second greatest inversion is correlation – this fitted model shows high inverse </w:t>
      </w:r>
      <w:r w:rsidR="007B5B8A">
        <w:rPr>
          <w:lang w:val="en-US"/>
        </w:rPr>
        <w:t>relationships</w:t>
      </w:r>
      <w:r>
        <w:rPr>
          <w:lang w:val="en-US"/>
        </w:rPr>
        <w:t xml:space="preserve"> between LPE and Stocks that flips in other state</w:t>
      </w:r>
      <w:r w:rsidR="007B5B8A">
        <w:rPr>
          <w:lang w:val="en-US"/>
        </w:rPr>
        <w:t>s. State 2</w:t>
      </w:r>
      <w:r>
        <w:rPr>
          <w:lang w:val="en-US"/>
        </w:rPr>
        <w:t xml:space="preserve"> has significantly less correlation between assets, and a</w:t>
      </w:r>
      <w:r w:rsidR="007B5B8A">
        <w:rPr>
          <w:lang w:val="en-US"/>
        </w:rPr>
        <w:t>lso has a bit greater yet not significantly different volatility</w:t>
      </w:r>
      <w:r>
        <w:rPr>
          <w:lang w:val="en-US"/>
        </w:rPr>
        <w:t xml:space="preserve">. </w:t>
      </w:r>
    </w:p>
    <w:tbl>
      <w:tblPr>
        <w:tblW w:w="8761" w:type="dxa"/>
        <w:tblInd w:w="93" w:type="dxa"/>
        <w:tblLook w:val="04A0" w:firstRow="1" w:lastRow="0" w:firstColumn="1" w:lastColumn="0" w:noHBand="0" w:noVBand="1"/>
      </w:tblPr>
      <w:tblGrid>
        <w:gridCol w:w="961"/>
        <w:gridCol w:w="1300"/>
        <w:gridCol w:w="1300"/>
        <w:gridCol w:w="1300"/>
        <w:gridCol w:w="1300"/>
        <w:gridCol w:w="1300"/>
        <w:gridCol w:w="1300"/>
      </w:tblGrid>
      <w:tr w:rsidR="00EB41D0" w:rsidTr="00EB41D0">
        <w:trPr>
          <w:trHeight w:val="300"/>
        </w:trPr>
        <w:tc>
          <w:tcPr>
            <w:tcW w:w="8761" w:type="dxa"/>
            <w:gridSpan w:val="7"/>
            <w:tcBorders>
              <w:top w:val="single" w:sz="4" w:space="0" w:color="auto"/>
              <w:left w:val="single" w:sz="4" w:space="0" w:color="auto"/>
              <w:bottom w:val="single" w:sz="4" w:space="0" w:color="auto"/>
              <w:right w:val="single" w:sz="4" w:space="0" w:color="000000"/>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Markow</w:t>
            </w:r>
            <w:proofErr w:type="spellEnd"/>
            <w:r>
              <w:rPr>
                <w:rFonts w:eastAsia="Times New Roman"/>
                <w:color w:val="000000"/>
                <w:lang w:val="en-US" w:eastAsia="lv-LV"/>
              </w:rPr>
              <w:t xml:space="preserve"> Autoregressive (lag 1) bivariate joint 3 asset model cond. </w:t>
            </w:r>
            <w:proofErr w:type="spellStart"/>
            <w:r>
              <w:rPr>
                <w:rFonts w:eastAsia="Times New Roman"/>
                <w:color w:val="000000"/>
                <w:lang w:val="en-US" w:eastAsia="lv-LV"/>
              </w:rPr>
              <w:t>Params</w:t>
            </w:r>
            <w:proofErr w:type="spellEnd"/>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proofErr w:type="gramStart"/>
            <w:r>
              <w:rPr>
                <w:rFonts w:eastAsia="Times New Roman"/>
                <w:color w:val="000000"/>
                <w:lang w:val="en-US" w:eastAsia="lv-LV"/>
              </w:rPr>
              <w:t>uProb</w:t>
            </w:r>
            <w:proofErr w:type="spellEnd"/>
            <w:proofErr w:type="gramEnd"/>
            <w:r>
              <w:rPr>
                <w:rFonts w:eastAsia="Times New Roman"/>
                <w:color w:val="000000"/>
                <w:lang w:val="en-US" w:eastAsia="lv-LV"/>
              </w:rPr>
              <w:t>.</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0.5344707</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0.4655293</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 </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Prob</w:t>
            </w:r>
            <w:proofErr w:type="spellEnd"/>
            <w:r>
              <w:rPr>
                <w:rFonts w:eastAsia="Times New Roman"/>
                <w:color w:val="000000"/>
                <w:lang w:val="en-US" w:eastAsia="lv-LV"/>
              </w:rPr>
              <w:t xml:space="preserve"> (1)</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0.2998600</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0.7001400</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AutoCor</w:t>
            </w:r>
            <w:proofErr w:type="spellEnd"/>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0.5702866</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0.1081146</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0.3669755</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Prob</w:t>
            </w:r>
            <w:proofErr w:type="spellEnd"/>
            <w:r>
              <w:rPr>
                <w:rFonts w:eastAsia="Times New Roman"/>
                <w:color w:val="000000"/>
                <w:lang w:val="en-US" w:eastAsia="lv-LV"/>
              </w:rPr>
              <w:t xml:space="preserve"> (2)</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0.8038254</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0.1961746</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 </w:t>
            </w:r>
          </w:p>
        </w:tc>
        <w:tc>
          <w:tcPr>
            <w:tcW w:w="3900" w:type="dxa"/>
            <w:gridSpan w:val="3"/>
            <w:tcBorders>
              <w:top w:val="single" w:sz="4" w:space="0" w:color="auto"/>
              <w:left w:val="nil"/>
              <w:bottom w:val="single" w:sz="4" w:space="0" w:color="auto"/>
              <w:right w:val="single" w:sz="4" w:space="0" w:color="000000"/>
            </w:tcBorders>
            <w:noWrap/>
            <w:vAlign w:val="bottom"/>
            <w:hideMark/>
          </w:tcPr>
          <w:p w:rsidR="00EB41D0" w:rsidRDefault="00EB41D0">
            <w:pPr>
              <w:spacing w:after="0" w:line="240" w:lineRule="auto"/>
              <w:jc w:val="center"/>
              <w:rPr>
                <w:rFonts w:eastAsia="Times New Roman"/>
                <w:color w:val="000000"/>
                <w:lang w:val="en-US" w:eastAsia="lv-LV"/>
              </w:rPr>
            </w:pPr>
            <w:r>
              <w:rPr>
                <w:rFonts w:eastAsia="Times New Roman"/>
                <w:color w:val="000000"/>
                <w:lang w:val="en-US" w:eastAsia="lv-LV"/>
              </w:rPr>
              <w:t>State 1</w:t>
            </w:r>
          </w:p>
        </w:tc>
        <w:tc>
          <w:tcPr>
            <w:tcW w:w="3900" w:type="dxa"/>
            <w:gridSpan w:val="3"/>
            <w:tcBorders>
              <w:top w:val="single" w:sz="4" w:space="0" w:color="auto"/>
              <w:left w:val="nil"/>
              <w:bottom w:val="single" w:sz="4" w:space="0" w:color="auto"/>
              <w:right w:val="single" w:sz="4" w:space="0" w:color="000000"/>
            </w:tcBorders>
            <w:noWrap/>
            <w:vAlign w:val="bottom"/>
            <w:hideMark/>
          </w:tcPr>
          <w:p w:rsidR="00EB41D0" w:rsidRDefault="00EB41D0">
            <w:pPr>
              <w:spacing w:after="0" w:line="240" w:lineRule="auto"/>
              <w:jc w:val="center"/>
              <w:rPr>
                <w:rFonts w:eastAsia="Times New Roman"/>
                <w:color w:val="000000"/>
                <w:lang w:val="en-US" w:eastAsia="lv-LV"/>
              </w:rPr>
            </w:pPr>
            <w:r>
              <w:rPr>
                <w:rFonts w:eastAsia="Times New Roman"/>
                <w:color w:val="000000"/>
                <w:lang w:val="en-US" w:eastAsia="lv-LV"/>
              </w:rPr>
              <w:t>State2</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 </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LPE</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Stocks</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Bonds</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LPE</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Stocks</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GE Bonds</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Mean</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0.1147493</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-0.0004368</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0.0000026</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-0.1314034</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0.0004023</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0.0001812</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Cor</w:t>
            </w:r>
            <w:proofErr w:type="spellEnd"/>
            <w:r>
              <w:rPr>
                <w:rFonts w:eastAsia="Times New Roman"/>
                <w:color w:val="000000"/>
                <w:lang w:val="en-US" w:eastAsia="lv-LV"/>
              </w:rPr>
              <w:t xml:space="preserve"> (1)</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-0.9946458</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-0.2369431</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0.8515266</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-0.6357739</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Cor</w:t>
            </w:r>
            <w:proofErr w:type="spellEnd"/>
            <w:r>
              <w:rPr>
                <w:rFonts w:eastAsia="Times New Roman"/>
                <w:color w:val="000000"/>
                <w:lang w:val="en-US" w:eastAsia="lv-LV"/>
              </w:rPr>
              <w:t xml:space="preserve"> (2)</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-0.9946458</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0.6927961</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0.8515266</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-0.0612679</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lastRenderedPageBreak/>
              <w:t>Cor</w:t>
            </w:r>
            <w:proofErr w:type="spellEnd"/>
            <w:r>
              <w:rPr>
                <w:rFonts w:eastAsia="Times New Roman"/>
                <w:color w:val="000000"/>
                <w:lang w:val="en-US" w:eastAsia="lv-LV"/>
              </w:rPr>
              <w:t xml:space="preserve"> (3)</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-0.2369431</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0.6927961</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-0.6357739</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-0.0612679</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1.0000000</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VCV (1)</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0.0090043</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-0.0006538</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-0.0000034</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0.0164326</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0.0007447</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-0.0000182</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VCV (2)</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-0.0006538</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0.0000480</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0.0000007</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0.0007447</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0.0000465</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-0.0000001</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r>
              <w:rPr>
                <w:rFonts w:eastAsia="Times New Roman"/>
                <w:color w:val="000000"/>
                <w:lang w:val="en-US" w:eastAsia="lv-LV"/>
              </w:rPr>
              <w:t>VCV (3)</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-0.0000034</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0.0000007</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0.0000000</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-0.0000182</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-0.0000001</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0.0000001</w:t>
            </w:r>
          </w:p>
        </w:tc>
      </w:tr>
      <w:tr w:rsidR="00EB41D0" w:rsidTr="00EB41D0">
        <w:trPr>
          <w:trHeight w:val="300"/>
        </w:trPr>
        <w:tc>
          <w:tcPr>
            <w:tcW w:w="961" w:type="dxa"/>
            <w:tcBorders>
              <w:top w:val="nil"/>
              <w:left w:val="single" w:sz="4" w:space="0" w:color="auto"/>
              <w:bottom w:val="single" w:sz="4" w:space="0" w:color="auto"/>
              <w:right w:val="single" w:sz="4" w:space="0" w:color="auto"/>
            </w:tcBorders>
            <w:noWrap/>
            <w:vAlign w:val="bottom"/>
            <w:hideMark/>
          </w:tcPr>
          <w:p w:rsidR="00EB41D0" w:rsidRDefault="00EB41D0">
            <w:pPr>
              <w:spacing w:after="0" w:line="240" w:lineRule="auto"/>
              <w:rPr>
                <w:rFonts w:eastAsia="Times New Roman"/>
                <w:color w:val="000000"/>
                <w:lang w:val="en-US" w:eastAsia="lv-LV"/>
              </w:rPr>
            </w:pPr>
            <w:proofErr w:type="spellStart"/>
            <w:r>
              <w:rPr>
                <w:rFonts w:eastAsia="Times New Roman"/>
                <w:color w:val="000000"/>
                <w:lang w:val="en-US" w:eastAsia="lv-LV"/>
              </w:rPr>
              <w:t>St.dev</w:t>
            </w:r>
            <w:proofErr w:type="spellEnd"/>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0.0948910</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0.0069275</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0.0001503</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0.1281898</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0.0068225</w:t>
            </w:r>
          </w:p>
        </w:tc>
        <w:tc>
          <w:tcPr>
            <w:tcW w:w="1300" w:type="dxa"/>
            <w:tcBorders>
              <w:top w:val="nil"/>
              <w:left w:val="nil"/>
              <w:bottom w:val="single" w:sz="4" w:space="0" w:color="auto"/>
              <w:right w:val="single" w:sz="4" w:space="0" w:color="auto"/>
            </w:tcBorders>
            <w:noWrap/>
            <w:vAlign w:val="bottom"/>
            <w:hideMark/>
          </w:tcPr>
          <w:p w:rsidR="00EB41D0" w:rsidRDefault="00EB41D0">
            <w:pPr>
              <w:spacing w:after="0" w:line="240" w:lineRule="auto"/>
              <w:jc w:val="right"/>
              <w:rPr>
                <w:rFonts w:eastAsia="Times New Roman"/>
                <w:color w:val="000000"/>
                <w:lang w:val="en-US" w:eastAsia="lv-LV"/>
              </w:rPr>
            </w:pPr>
            <w:r>
              <w:rPr>
                <w:rFonts w:eastAsia="Times New Roman"/>
                <w:color w:val="000000"/>
                <w:lang w:val="en-US" w:eastAsia="lv-LV"/>
              </w:rPr>
              <w:t>0.0002237</w:t>
            </w:r>
          </w:p>
        </w:tc>
      </w:tr>
    </w:tbl>
    <w:p w:rsidR="00351025" w:rsidRDefault="00351025" w:rsidP="00351025">
      <w:r>
        <w:t>Appendix 3</w:t>
      </w:r>
    </w:p>
    <w:p w:rsidR="00351025" w:rsidRDefault="00C63036" w:rsidP="00810A14">
      <w:r>
        <w:br w:type="page"/>
      </w:r>
      <w:r>
        <w:lastRenderedPageBreak/>
        <w:t>Conclusions</w:t>
      </w:r>
      <w:bookmarkStart w:id="0" w:name="_GoBack"/>
      <w:bookmarkEnd w:id="0"/>
      <w:r>
        <w:br w:type="page"/>
      </w:r>
    </w:p>
    <w:p w:rsidR="00351025" w:rsidRDefault="00351025" w:rsidP="00351025">
      <w:r>
        <w:rPr>
          <w:noProof/>
          <w:lang w:val="lv-LV" w:eastAsia="lv-LV"/>
        </w:rPr>
        <w:lastRenderedPageBreak/>
        <w:drawing>
          <wp:inline distT="0" distB="0" distL="0" distR="0" wp14:anchorId="54B7E4B5" wp14:editId="2DCDCBB9">
            <wp:extent cx="5742940" cy="33667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2940" cy="3366770"/>
                    </a:xfrm>
                    <a:prstGeom prst="rect">
                      <a:avLst/>
                    </a:prstGeom>
                    <a:noFill/>
                    <a:ln>
                      <a:noFill/>
                    </a:ln>
                  </pic:spPr>
                </pic:pic>
              </a:graphicData>
            </a:graphic>
          </wp:inline>
        </w:drawing>
      </w:r>
    </w:p>
    <w:p w:rsidR="00351025" w:rsidRDefault="00351025" w:rsidP="00351025"/>
    <w:p w:rsidR="00351025" w:rsidRDefault="00351025" w:rsidP="00351025"/>
    <w:p w:rsidR="00351025" w:rsidRDefault="00351025" w:rsidP="00351025">
      <w:r>
        <w:rPr>
          <w:noProof/>
          <w:lang w:val="lv-LV" w:eastAsia="lv-LV"/>
        </w:rPr>
        <w:drawing>
          <wp:anchor distT="0" distB="0" distL="114300" distR="114300" simplePos="0" relativeHeight="251660288" behindDoc="0" locked="0" layoutInCell="1" allowOverlap="1" wp14:anchorId="4B0D3520" wp14:editId="54BBD9F3">
            <wp:simplePos x="0" y="0"/>
            <wp:positionH relativeFrom="column">
              <wp:posOffset>158750</wp:posOffset>
            </wp:positionH>
            <wp:positionV relativeFrom="paragraph">
              <wp:posOffset>1160780</wp:posOffset>
            </wp:positionV>
            <wp:extent cx="5443855" cy="2839085"/>
            <wp:effectExtent l="0" t="0" r="444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3855" cy="2839085"/>
                    </a:xfrm>
                    <a:prstGeom prst="rect">
                      <a:avLst/>
                    </a:prstGeom>
                    <a:noFill/>
                    <a:ln>
                      <a:noFill/>
                    </a:ln>
                  </pic:spPr>
                </pic:pic>
              </a:graphicData>
            </a:graphic>
            <wp14:sizeRelH relativeFrom="page">
              <wp14:pctWidth>0</wp14:pctWidth>
            </wp14:sizeRelH>
            <wp14:sizeRelV relativeFrom="page">
              <wp14:pctHeight>0</wp14:pctHeight>
            </wp14:sizeRelV>
          </wp:anchor>
        </w:drawing>
      </w:r>
      <w:r>
        <w:t>Appendix 1</w:t>
      </w:r>
    </w:p>
    <w:p w:rsidR="00351025" w:rsidRDefault="00351025" w:rsidP="00351025">
      <w:r>
        <w:rPr>
          <w:noProof/>
          <w:lang w:val="lv-LV" w:eastAsia="lv-LV"/>
        </w:rPr>
        <w:lastRenderedPageBreak/>
        <w:drawing>
          <wp:inline distT="0" distB="0" distL="0" distR="0" wp14:anchorId="45A52A80" wp14:editId="6C5C4790">
            <wp:extent cx="5528945" cy="28625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8945" cy="2862580"/>
                    </a:xfrm>
                    <a:prstGeom prst="rect">
                      <a:avLst/>
                    </a:prstGeom>
                    <a:noFill/>
                    <a:ln>
                      <a:noFill/>
                    </a:ln>
                  </pic:spPr>
                </pic:pic>
              </a:graphicData>
            </a:graphic>
          </wp:inline>
        </w:drawing>
      </w:r>
    </w:p>
    <w:p w:rsidR="00351025" w:rsidRDefault="00351025" w:rsidP="00351025"/>
    <w:p w:rsidR="00351025" w:rsidRDefault="00351025" w:rsidP="00351025">
      <w:r>
        <w:rPr>
          <w:noProof/>
          <w:lang w:val="lv-LV" w:eastAsia="lv-LV"/>
        </w:rPr>
        <w:drawing>
          <wp:inline distT="0" distB="0" distL="0" distR="0" wp14:anchorId="2B326210" wp14:editId="46E8D84D">
            <wp:extent cx="5443855" cy="250380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3855" cy="2503805"/>
                    </a:xfrm>
                    <a:prstGeom prst="rect">
                      <a:avLst/>
                    </a:prstGeom>
                    <a:noFill/>
                    <a:ln>
                      <a:noFill/>
                    </a:ln>
                  </pic:spPr>
                </pic:pic>
              </a:graphicData>
            </a:graphic>
          </wp:inline>
        </w:drawing>
      </w:r>
    </w:p>
    <w:p w:rsidR="00351025" w:rsidRDefault="00351025" w:rsidP="00351025">
      <w:r>
        <w:rPr>
          <w:noProof/>
          <w:lang w:val="lv-LV" w:eastAsia="lv-LV"/>
        </w:rPr>
        <w:lastRenderedPageBreak/>
        <w:drawing>
          <wp:inline distT="0" distB="0" distL="0" distR="0" wp14:anchorId="6DBEEFAA" wp14:editId="50FD49F6">
            <wp:extent cx="5677535" cy="2424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7535" cy="2424430"/>
                    </a:xfrm>
                    <a:prstGeom prst="rect">
                      <a:avLst/>
                    </a:prstGeom>
                    <a:noFill/>
                    <a:ln>
                      <a:noFill/>
                    </a:ln>
                  </pic:spPr>
                </pic:pic>
              </a:graphicData>
            </a:graphic>
          </wp:inline>
        </w:drawing>
      </w:r>
    </w:p>
    <w:p w:rsidR="00351025" w:rsidRDefault="00351025" w:rsidP="00351025">
      <w:r>
        <w:rPr>
          <w:noProof/>
          <w:lang w:val="lv-LV" w:eastAsia="lv-LV"/>
        </w:rPr>
        <w:drawing>
          <wp:inline distT="0" distB="0" distL="0" distR="0" wp14:anchorId="200B504A" wp14:editId="6D13EC44">
            <wp:extent cx="4341495" cy="3195955"/>
            <wp:effectExtent l="0" t="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1495" cy="3195955"/>
                    </a:xfrm>
                    <a:prstGeom prst="rect">
                      <a:avLst/>
                    </a:prstGeom>
                    <a:noFill/>
                    <a:ln>
                      <a:noFill/>
                    </a:ln>
                  </pic:spPr>
                </pic:pic>
              </a:graphicData>
            </a:graphic>
          </wp:inline>
        </w:drawing>
      </w:r>
    </w:p>
    <w:p w:rsidR="00351025" w:rsidRDefault="00351025" w:rsidP="00351025"/>
    <w:p w:rsidR="00351025" w:rsidRDefault="00351025" w:rsidP="00351025">
      <w:r>
        <w:rPr>
          <w:noProof/>
          <w:lang w:val="lv-LV" w:eastAsia="lv-LV"/>
        </w:rPr>
        <w:lastRenderedPageBreak/>
        <w:drawing>
          <wp:inline distT="0" distB="0" distL="0" distR="0" wp14:anchorId="305BCE30" wp14:editId="4D01C70D">
            <wp:extent cx="4418330" cy="317055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8330" cy="3170555"/>
                    </a:xfrm>
                    <a:prstGeom prst="rect">
                      <a:avLst/>
                    </a:prstGeom>
                    <a:noFill/>
                    <a:ln>
                      <a:noFill/>
                    </a:ln>
                  </pic:spPr>
                </pic:pic>
              </a:graphicData>
            </a:graphic>
          </wp:inline>
        </w:drawing>
      </w:r>
    </w:p>
    <w:p w:rsidR="00351025" w:rsidRDefault="00351025" w:rsidP="00351025"/>
    <w:p w:rsidR="00351025" w:rsidRDefault="00351025" w:rsidP="00351025"/>
    <w:p w:rsidR="00351025" w:rsidRDefault="00351025" w:rsidP="00351025"/>
    <w:p w:rsidR="00EB41D0" w:rsidRDefault="00EB41D0" w:rsidP="00A15325"/>
    <w:sectPr w:rsidR="00EB41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62D2" w:rsidRDefault="002D62D2" w:rsidP="00EB41D0">
      <w:pPr>
        <w:spacing w:after="0" w:line="240" w:lineRule="auto"/>
      </w:pPr>
      <w:r>
        <w:separator/>
      </w:r>
    </w:p>
  </w:endnote>
  <w:endnote w:type="continuationSeparator" w:id="0">
    <w:p w:rsidR="002D62D2" w:rsidRDefault="002D62D2" w:rsidP="00EB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BA"/>
    <w:family w:val="swiss"/>
    <w:pitch w:val="variable"/>
    <w:sig w:usb0="E1002EFF" w:usb1="C000605B" w:usb2="00000029" w:usb3="00000000" w:csb0="000101FF" w:csb1="00000000"/>
  </w:font>
  <w:font w:name="Times">
    <w:altName w:val="Times New Roman"/>
    <w:panose1 w:val="02020603050405020304"/>
    <w:charset w:val="BA"/>
    <w:family w:val="roman"/>
    <w:pitch w:val="variable"/>
    <w:sig w:usb0="E0002AFF" w:usb1="C0007841" w:usb2="00000009"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62D2" w:rsidRDefault="002D62D2" w:rsidP="00EB41D0">
      <w:pPr>
        <w:spacing w:after="0" w:line="240" w:lineRule="auto"/>
      </w:pPr>
      <w:r>
        <w:separator/>
      </w:r>
    </w:p>
  </w:footnote>
  <w:footnote w:type="continuationSeparator" w:id="0">
    <w:p w:rsidR="002D62D2" w:rsidRDefault="002D62D2" w:rsidP="00EB41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7D1"/>
    <w:rsid w:val="0007136E"/>
    <w:rsid w:val="000768F9"/>
    <w:rsid w:val="000C284A"/>
    <w:rsid w:val="000E36A4"/>
    <w:rsid w:val="00107C2D"/>
    <w:rsid w:val="00111782"/>
    <w:rsid w:val="00150D30"/>
    <w:rsid w:val="001D6BB9"/>
    <w:rsid w:val="00200847"/>
    <w:rsid w:val="00272B04"/>
    <w:rsid w:val="00285797"/>
    <w:rsid w:val="002C6959"/>
    <w:rsid w:val="002C6C48"/>
    <w:rsid w:val="002D62D2"/>
    <w:rsid w:val="002E03D1"/>
    <w:rsid w:val="002F6672"/>
    <w:rsid w:val="003149F3"/>
    <w:rsid w:val="00345513"/>
    <w:rsid w:val="00351025"/>
    <w:rsid w:val="00377D73"/>
    <w:rsid w:val="003B2FC6"/>
    <w:rsid w:val="003B7194"/>
    <w:rsid w:val="003D2B58"/>
    <w:rsid w:val="003F0F6F"/>
    <w:rsid w:val="004104FF"/>
    <w:rsid w:val="004B3791"/>
    <w:rsid w:val="004D56CB"/>
    <w:rsid w:val="004D73D0"/>
    <w:rsid w:val="0052421E"/>
    <w:rsid w:val="005352EE"/>
    <w:rsid w:val="005738D8"/>
    <w:rsid w:val="005F21C0"/>
    <w:rsid w:val="0061569B"/>
    <w:rsid w:val="006669AF"/>
    <w:rsid w:val="00676A51"/>
    <w:rsid w:val="00685DA2"/>
    <w:rsid w:val="00692562"/>
    <w:rsid w:val="00696A73"/>
    <w:rsid w:val="00697751"/>
    <w:rsid w:val="006B02DE"/>
    <w:rsid w:val="006D3D52"/>
    <w:rsid w:val="0071783B"/>
    <w:rsid w:val="00740D83"/>
    <w:rsid w:val="007456B3"/>
    <w:rsid w:val="0075338F"/>
    <w:rsid w:val="007B5B8A"/>
    <w:rsid w:val="00810A14"/>
    <w:rsid w:val="008817D1"/>
    <w:rsid w:val="008B7E31"/>
    <w:rsid w:val="008D6D04"/>
    <w:rsid w:val="008D6FA0"/>
    <w:rsid w:val="009213BB"/>
    <w:rsid w:val="00A132E4"/>
    <w:rsid w:val="00A15325"/>
    <w:rsid w:val="00A60EF1"/>
    <w:rsid w:val="00B307B1"/>
    <w:rsid w:val="00B50210"/>
    <w:rsid w:val="00B90C7C"/>
    <w:rsid w:val="00BA4EFA"/>
    <w:rsid w:val="00BE3F2A"/>
    <w:rsid w:val="00C63036"/>
    <w:rsid w:val="00C9730F"/>
    <w:rsid w:val="00CC65C6"/>
    <w:rsid w:val="00CD6F24"/>
    <w:rsid w:val="00D41172"/>
    <w:rsid w:val="00D75CD1"/>
    <w:rsid w:val="00D838A4"/>
    <w:rsid w:val="00DA7B09"/>
    <w:rsid w:val="00DD47BD"/>
    <w:rsid w:val="00DE7383"/>
    <w:rsid w:val="00E55E16"/>
    <w:rsid w:val="00E653BA"/>
    <w:rsid w:val="00EB41D0"/>
    <w:rsid w:val="00EC6DF0"/>
    <w:rsid w:val="00F21F92"/>
    <w:rsid w:val="00F64905"/>
    <w:rsid w:val="00F93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qFormat/>
    <w:rsid w:val="00A15325"/>
    <w:rPr>
      <w:lang w:val="en-GB"/>
    </w:rPr>
  </w:style>
  <w:style w:type="paragraph" w:styleId="Virsraksts2">
    <w:name w:val="heading 2"/>
    <w:basedOn w:val="Parasts"/>
    <w:next w:val="Parasts"/>
    <w:link w:val="Virsraksts2Rakstz"/>
    <w:uiPriority w:val="9"/>
    <w:semiHidden/>
    <w:unhideWhenUsed/>
    <w:qFormat/>
    <w:rsid w:val="00111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Virsraksts3">
    <w:name w:val="heading 3"/>
    <w:basedOn w:val="Parasts"/>
    <w:next w:val="Parasts"/>
    <w:link w:val="Virsraksts3Rakstz"/>
    <w:uiPriority w:val="9"/>
    <w:semiHidden/>
    <w:unhideWhenUsed/>
    <w:qFormat/>
    <w:rsid w:val="00EB41D0"/>
    <w:pPr>
      <w:keepNext/>
      <w:keepLines/>
      <w:spacing w:before="200" w:after="0"/>
      <w:outlineLvl w:val="2"/>
    </w:pPr>
    <w:rPr>
      <w:rFonts w:asciiTheme="majorHAnsi" w:eastAsiaTheme="majorEastAsia" w:hAnsiTheme="majorHAnsi" w:cstheme="majorBidi"/>
      <w:b/>
      <w:bCs/>
      <w:color w:val="4F81BD" w:themeColor="accent1"/>
      <w:lang w:val="lv-LV"/>
    </w:rPr>
  </w:style>
  <w:style w:type="paragraph" w:styleId="Virsraksts4">
    <w:name w:val="heading 4"/>
    <w:basedOn w:val="Parasts"/>
    <w:next w:val="Parasts"/>
    <w:link w:val="Virsraksts4Rakstz"/>
    <w:uiPriority w:val="9"/>
    <w:unhideWhenUsed/>
    <w:qFormat/>
    <w:rsid w:val="00A15325"/>
    <w:pPr>
      <w:keepNext/>
      <w:keepLines/>
      <w:spacing w:before="200" w:after="0"/>
      <w:outlineLvl w:val="3"/>
    </w:pPr>
    <w:rPr>
      <w:rFonts w:ascii="Times New Roman" w:eastAsiaTheme="majorEastAsia" w:hAnsi="Times New Roman" w:cstheme="majorBidi"/>
      <w:b/>
      <w:bCs/>
      <w:iCs/>
      <w:color w:val="000000" w:themeColor="text1"/>
      <w:sz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4Rakstz">
    <w:name w:val="Virsraksts 4 Rakstz."/>
    <w:basedOn w:val="Noklusjumarindkopasfonts"/>
    <w:link w:val="Virsraksts4"/>
    <w:uiPriority w:val="9"/>
    <w:rsid w:val="00A15325"/>
    <w:rPr>
      <w:rFonts w:ascii="Times New Roman" w:eastAsiaTheme="majorEastAsia" w:hAnsi="Times New Roman" w:cstheme="majorBidi"/>
      <w:b/>
      <w:bCs/>
      <w:iCs/>
      <w:color w:val="000000" w:themeColor="text1"/>
      <w:sz w:val="24"/>
      <w:lang w:val="en-GB"/>
    </w:rPr>
  </w:style>
  <w:style w:type="paragraph" w:customStyle="1" w:styleId="Body">
    <w:name w:val="Body"/>
    <w:rsid w:val="00A15325"/>
    <w:pPr>
      <w:spacing w:after="0" w:line="240" w:lineRule="auto"/>
    </w:pPr>
    <w:rPr>
      <w:rFonts w:ascii="Helvetica" w:eastAsia="Arial Unicode MS" w:hAnsi="Arial Unicode MS" w:cs="Arial Unicode MS"/>
      <w:color w:val="000000"/>
      <w:lang w:val="en-GB" w:eastAsia="en-GB"/>
    </w:rPr>
  </w:style>
  <w:style w:type="character" w:styleId="Grmatasnosaukums">
    <w:name w:val="Book Title"/>
    <w:basedOn w:val="Noklusjumarindkopasfonts"/>
    <w:uiPriority w:val="33"/>
    <w:qFormat/>
    <w:rsid w:val="00A15325"/>
    <w:rPr>
      <w:b/>
      <w:bCs/>
      <w:smallCaps/>
      <w:spacing w:val="5"/>
    </w:rPr>
  </w:style>
  <w:style w:type="character" w:customStyle="1" w:styleId="5yl5">
    <w:name w:val="_5yl5"/>
    <w:basedOn w:val="Noklusjumarindkopasfonts"/>
    <w:rsid w:val="00A15325"/>
  </w:style>
  <w:style w:type="paragraph" w:styleId="Balonteksts">
    <w:name w:val="Balloon Text"/>
    <w:basedOn w:val="Parasts"/>
    <w:link w:val="BalontekstsRakstz"/>
    <w:uiPriority w:val="99"/>
    <w:semiHidden/>
    <w:unhideWhenUsed/>
    <w:rsid w:val="00A15325"/>
    <w:pPr>
      <w:spacing w:after="0" w:line="240" w:lineRule="auto"/>
    </w:pPr>
    <w:rPr>
      <w:rFonts w:ascii="Tahoma" w:hAnsi="Tahoma" w:cs="Tahoma"/>
      <w:sz w:val="16"/>
      <w:szCs w:val="16"/>
    </w:rPr>
  </w:style>
  <w:style w:type="character" w:customStyle="1" w:styleId="BalontekstsRakstz">
    <w:name w:val="Balonteksts Rakstz."/>
    <w:basedOn w:val="Noklusjumarindkopasfonts"/>
    <w:link w:val="Balonteksts"/>
    <w:uiPriority w:val="99"/>
    <w:semiHidden/>
    <w:rsid w:val="00A15325"/>
    <w:rPr>
      <w:rFonts w:ascii="Tahoma" w:hAnsi="Tahoma" w:cs="Tahoma"/>
      <w:sz w:val="16"/>
      <w:szCs w:val="16"/>
      <w:lang w:val="en-GB"/>
    </w:rPr>
  </w:style>
  <w:style w:type="paragraph" w:customStyle="1" w:styleId="Default">
    <w:name w:val="Default"/>
    <w:rsid w:val="00A1532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Virsraksts2Rakstz">
    <w:name w:val="Virsraksts 2 Rakstz."/>
    <w:basedOn w:val="Noklusjumarindkopasfonts"/>
    <w:link w:val="Virsraksts2"/>
    <w:uiPriority w:val="9"/>
    <w:semiHidden/>
    <w:rsid w:val="00111782"/>
    <w:rPr>
      <w:rFonts w:asciiTheme="majorHAnsi" w:eastAsiaTheme="majorEastAsia" w:hAnsiTheme="majorHAnsi" w:cstheme="majorBidi"/>
      <w:b/>
      <w:bCs/>
      <w:color w:val="4F81BD" w:themeColor="accent1"/>
      <w:sz w:val="26"/>
      <w:szCs w:val="26"/>
      <w:lang w:val="en-GB"/>
    </w:rPr>
  </w:style>
  <w:style w:type="table" w:styleId="Reatabula">
    <w:name w:val="Table Grid"/>
    <w:basedOn w:val="Parastatabula"/>
    <w:uiPriority w:val="59"/>
    <w:rsid w:val="00BE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e">
    <w:name w:val="Hyperlink"/>
    <w:basedOn w:val="Noklusjumarindkopasfonts"/>
    <w:uiPriority w:val="99"/>
    <w:unhideWhenUsed/>
    <w:rsid w:val="0061569B"/>
    <w:rPr>
      <w:color w:val="0000FF" w:themeColor="hyperlink"/>
      <w:u w:val="single"/>
    </w:rPr>
  </w:style>
  <w:style w:type="paragraph" w:styleId="Galvene">
    <w:name w:val="header"/>
    <w:basedOn w:val="Parasts"/>
    <w:link w:val="GalveneRakstz"/>
    <w:uiPriority w:val="99"/>
    <w:unhideWhenUsed/>
    <w:rsid w:val="00EB41D0"/>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EB41D0"/>
    <w:rPr>
      <w:lang w:val="en-GB"/>
    </w:rPr>
  </w:style>
  <w:style w:type="paragraph" w:styleId="Kjene">
    <w:name w:val="footer"/>
    <w:basedOn w:val="Parasts"/>
    <w:link w:val="KjeneRakstz"/>
    <w:uiPriority w:val="99"/>
    <w:unhideWhenUsed/>
    <w:rsid w:val="00EB41D0"/>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EB41D0"/>
    <w:rPr>
      <w:lang w:val="en-GB"/>
    </w:rPr>
  </w:style>
  <w:style w:type="character" w:customStyle="1" w:styleId="Virsraksts3Rakstz">
    <w:name w:val="Virsraksts 3 Rakstz."/>
    <w:basedOn w:val="Noklusjumarindkopasfonts"/>
    <w:link w:val="Virsraksts3"/>
    <w:uiPriority w:val="9"/>
    <w:semiHidden/>
    <w:rsid w:val="00EB41D0"/>
    <w:rPr>
      <w:rFonts w:asciiTheme="majorHAnsi" w:eastAsiaTheme="majorEastAsia" w:hAnsiTheme="majorHAnsi" w:cstheme="majorBidi"/>
      <w:b/>
      <w:bCs/>
      <w:color w:val="4F81BD" w:themeColor="accent1"/>
      <w:lang w:val="lv-LV"/>
    </w:rPr>
  </w:style>
  <w:style w:type="paragraph" w:customStyle="1" w:styleId="BodyTimes">
    <w:name w:val="Body (Times)"/>
    <w:rsid w:val="00DD47BD"/>
    <w:pPr>
      <w:pBdr>
        <w:top w:val="nil"/>
        <w:left w:val="nil"/>
        <w:bottom w:val="nil"/>
        <w:right w:val="nil"/>
        <w:between w:val="nil"/>
        <w:bar w:val="nil"/>
      </w:pBdr>
      <w:spacing w:after="0" w:line="360" w:lineRule="auto"/>
      <w:ind w:firstLine="720"/>
    </w:pPr>
    <w:rPr>
      <w:rFonts w:ascii="Times" w:eastAsia="Arial Unicode MS" w:hAnsi="Arial Unicode MS" w:cs="Arial Unicode MS"/>
      <w:color w:val="000000"/>
      <w:sz w:val="24"/>
      <w:szCs w:val="24"/>
      <w:bdr w:val="nil"/>
    </w:rPr>
  </w:style>
  <w:style w:type="paragraph" w:styleId="Nosaukums">
    <w:name w:val="Title"/>
    <w:next w:val="BodyTimes"/>
    <w:link w:val="NosaukumsRakstz"/>
    <w:rsid w:val="00DD47BD"/>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rPr>
  </w:style>
  <w:style w:type="character" w:customStyle="1" w:styleId="NosaukumsRakstz">
    <w:name w:val="Nosaukums Rakstz."/>
    <w:basedOn w:val="Noklusjumarindkopasfonts"/>
    <w:link w:val="Nosaukums"/>
    <w:rsid w:val="00DD47BD"/>
    <w:rPr>
      <w:rFonts w:ascii="Helvetica" w:eastAsia="Arial Unicode MS" w:hAnsi="Arial Unicode MS" w:cs="Arial Unicode MS"/>
      <w:b/>
      <w:bCs/>
      <w:color w:val="000000"/>
      <w:sz w:val="60"/>
      <w:szCs w:val="60"/>
      <w:bdr w:val="nil"/>
    </w:rPr>
  </w:style>
  <w:style w:type="paragraph" w:customStyle="1" w:styleId="Heading">
    <w:name w:val="Heading"/>
    <w:next w:val="BodyTimes"/>
    <w:rsid w:val="00DD47BD"/>
    <w:pPr>
      <w:keepNext/>
      <w:pBdr>
        <w:top w:val="nil"/>
        <w:left w:val="nil"/>
        <w:bottom w:val="nil"/>
        <w:right w:val="nil"/>
        <w:between w:val="nil"/>
        <w:bar w:val="nil"/>
      </w:pBdr>
      <w:spacing w:after="0" w:line="240" w:lineRule="auto"/>
      <w:outlineLvl w:val="0"/>
    </w:pPr>
    <w:rPr>
      <w:rFonts w:ascii="Helvetica" w:eastAsia="Helvetica" w:hAnsi="Helvetica" w:cs="Helvetica"/>
      <w:b/>
      <w:bCs/>
      <w:color w:val="000000"/>
      <w:sz w:val="36"/>
      <w:szCs w:val="36"/>
      <w:bdr w:val="nil"/>
    </w:rPr>
  </w:style>
  <w:style w:type="paragraph" w:styleId="Apakvirsraksts">
    <w:name w:val="Subtitle"/>
    <w:next w:val="BodyTimes"/>
    <w:link w:val="ApakvirsrakstsRakstz"/>
    <w:rsid w:val="00DD47BD"/>
    <w:pPr>
      <w:keepNext/>
      <w:pBdr>
        <w:top w:val="nil"/>
        <w:left w:val="nil"/>
        <w:bottom w:val="nil"/>
        <w:right w:val="nil"/>
        <w:between w:val="nil"/>
        <w:bar w:val="nil"/>
      </w:pBdr>
      <w:spacing w:after="0" w:line="240" w:lineRule="auto"/>
    </w:pPr>
    <w:rPr>
      <w:rFonts w:ascii="Helvetica" w:eastAsia="Helvetica" w:hAnsi="Helvetica" w:cs="Helvetica"/>
      <w:color w:val="000000"/>
      <w:sz w:val="40"/>
      <w:szCs w:val="40"/>
      <w:bdr w:val="nil"/>
    </w:rPr>
  </w:style>
  <w:style w:type="character" w:customStyle="1" w:styleId="ApakvirsrakstsRakstz">
    <w:name w:val="Apakšvirsraksts Rakstz."/>
    <w:basedOn w:val="Noklusjumarindkopasfonts"/>
    <w:link w:val="Apakvirsraksts"/>
    <w:rsid w:val="00DD47BD"/>
    <w:rPr>
      <w:rFonts w:ascii="Helvetica" w:eastAsia="Helvetica" w:hAnsi="Helvetica" w:cs="Helvetica"/>
      <w:color w:val="000000"/>
      <w:sz w:val="40"/>
      <w:szCs w:val="40"/>
      <w:bdr w:val="nil"/>
    </w:rPr>
  </w:style>
  <w:style w:type="paragraph" w:customStyle="1" w:styleId="Textbody">
    <w:name w:val="Text body"/>
    <w:rsid w:val="00200847"/>
    <w:pPr>
      <w:pBdr>
        <w:top w:val="nil"/>
        <w:left w:val="nil"/>
        <w:bottom w:val="nil"/>
        <w:right w:val="nil"/>
        <w:between w:val="nil"/>
        <w:bar w:val="nil"/>
      </w:pBdr>
      <w:suppressAutoHyphens/>
      <w:spacing w:after="120" w:line="240" w:lineRule="auto"/>
    </w:pPr>
    <w:rPr>
      <w:rFonts w:ascii="Times New Roman" w:eastAsia="Arial Unicode MS" w:hAnsi="Arial Unicode MS" w:cs="Arial Unicode MS"/>
      <w:color w:val="000000"/>
      <w:kern w:val="3"/>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qFormat/>
    <w:rsid w:val="00A15325"/>
    <w:rPr>
      <w:lang w:val="en-GB"/>
    </w:rPr>
  </w:style>
  <w:style w:type="paragraph" w:styleId="Virsraksts2">
    <w:name w:val="heading 2"/>
    <w:basedOn w:val="Parasts"/>
    <w:next w:val="Parasts"/>
    <w:link w:val="Virsraksts2Rakstz"/>
    <w:uiPriority w:val="9"/>
    <w:semiHidden/>
    <w:unhideWhenUsed/>
    <w:qFormat/>
    <w:rsid w:val="001117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Virsraksts3">
    <w:name w:val="heading 3"/>
    <w:basedOn w:val="Parasts"/>
    <w:next w:val="Parasts"/>
    <w:link w:val="Virsraksts3Rakstz"/>
    <w:uiPriority w:val="9"/>
    <w:semiHidden/>
    <w:unhideWhenUsed/>
    <w:qFormat/>
    <w:rsid w:val="00EB41D0"/>
    <w:pPr>
      <w:keepNext/>
      <w:keepLines/>
      <w:spacing w:before="200" w:after="0"/>
      <w:outlineLvl w:val="2"/>
    </w:pPr>
    <w:rPr>
      <w:rFonts w:asciiTheme="majorHAnsi" w:eastAsiaTheme="majorEastAsia" w:hAnsiTheme="majorHAnsi" w:cstheme="majorBidi"/>
      <w:b/>
      <w:bCs/>
      <w:color w:val="4F81BD" w:themeColor="accent1"/>
      <w:lang w:val="lv-LV"/>
    </w:rPr>
  </w:style>
  <w:style w:type="paragraph" w:styleId="Virsraksts4">
    <w:name w:val="heading 4"/>
    <w:basedOn w:val="Parasts"/>
    <w:next w:val="Parasts"/>
    <w:link w:val="Virsraksts4Rakstz"/>
    <w:uiPriority w:val="9"/>
    <w:unhideWhenUsed/>
    <w:qFormat/>
    <w:rsid w:val="00A15325"/>
    <w:pPr>
      <w:keepNext/>
      <w:keepLines/>
      <w:spacing w:before="200" w:after="0"/>
      <w:outlineLvl w:val="3"/>
    </w:pPr>
    <w:rPr>
      <w:rFonts w:ascii="Times New Roman" w:eastAsiaTheme="majorEastAsia" w:hAnsi="Times New Roman" w:cstheme="majorBidi"/>
      <w:b/>
      <w:bCs/>
      <w:iCs/>
      <w:color w:val="000000" w:themeColor="text1"/>
      <w:sz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4Rakstz">
    <w:name w:val="Virsraksts 4 Rakstz."/>
    <w:basedOn w:val="Noklusjumarindkopasfonts"/>
    <w:link w:val="Virsraksts4"/>
    <w:uiPriority w:val="9"/>
    <w:rsid w:val="00A15325"/>
    <w:rPr>
      <w:rFonts w:ascii="Times New Roman" w:eastAsiaTheme="majorEastAsia" w:hAnsi="Times New Roman" w:cstheme="majorBidi"/>
      <w:b/>
      <w:bCs/>
      <w:iCs/>
      <w:color w:val="000000" w:themeColor="text1"/>
      <w:sz w:val="24"/>
      <w:lang w:val="en-GB"/>
    </w:rPr>
  </w:style>
  <w:style w:type="paragraph" w:customStyle="1" w:styleId="Body">
    <w:name w:val="Body"/>
    <w:rsid w:val="00A15325"/>
    <w:pPr>
      <w:spacing w:after="0" w:line="240" w:lineRule="auto"/>
    </w:pPr>
    <w:rPr>
      <w:rFonts w:ascii="Helvetica" w:eastAsia="Arial Unicode MS" w:hAnsi="Arial Unicode MS" w:cs="Arial Unicode MS"/>
      <w:color w:val="000000"/>
      <w:lang w:val="en-GB" w:eastAsia="en-GB"/>
    </w:rPr>
  </w:style>
  <w:style w:type="character" w:styleId="Grmatasnosaukums">
    <w:name w:val="Book Title"/>
    <w:basedOn w:val="Noklusjumarindkopasfonts"/>
    <w:uiPriority w:val="33"/>
    <w:qFormat/>
    <w:rsid w:val="00A15325"/>
    <w:rPr>
      <w:b/>
      <w:bCs/>
      <w:smallCaps/>
      <w:spacing w:val="5"/>
    </w:rPr>
  </w:style>
  <w:style w:type="character" w:customStyle="1" w:styleId="5yl5">
    <w:name w:val="_5yl5"/>
    <w:basedOn w:val="Noklusjumarindkopasfonts"/>
    <w:rsid w:val="00A15325"/>
  </w:style>
  <w:style w:type="paragraph" w:styleId="Balonteksts">
    <w:name w:val="Balloon Text"/>
    <w:basedOn w:val="Parasts"/>
    <w:link w:val="BalontekstsRakstz"/>
    <w:uiPriority w:val="99"/>
    <w:semiHidden/>
    <w:unhideWhenUsed/>
    <w:rsid w:val="00A15325"/>
    <w:pPr>
      <w:spacing w:after="0" w:line="240" w:lineRule="auto"/>
    </w:pPr>
    <w:rPr>
      <w:rFonts w:ascii="Tahoma" w:hAnsi="Tahoma" w:cs="Tahoma"/>
      <w:sz w:val="16"/>
      <w:szCs w:val="16"/>
    </w:rPr>
  </w:style>
  <w:style w:type="character" w:customStyle="1" w:styleId="BalontekstsRakstz">
    <w:name w:val="Balonteksts Rakstz."/>
    <w:basedOn w:val="Noklusjumarindkopasfonts"/>
    <w:link w:val="Balonteksts"/>
    <w:uiPriority w:val="99"/>
    <w:semiHidden/>
    <w:rsid w:val="00A15325"/>
    <w:rPr>
      <w:rFonts w:ascii="Tahoma" w:hAnsi="Tahoma" w:cs="Tahoma"/>
      <w:sz w:val="16"/>
      <w:szCs w:val="16"/>
      <w:lang w:val="en-GB"/>
    </w:rPr>
  </w:style>
  <w:style w:type="paragraph" w:customStyle="1" w:styleId="Default">
    <w:name w:val="Default"/>
    <w:rsid w:val="00A1532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rPr>
  </w:style>
  <w:style w:type="character" w:customStyle="1" w:styleId="Virsraksts2Rakstz">
    <w:name w:val="Virsraksts 2 Rakstz."/>
    <w:basedOn w:val="Noklusjumarindkopasfonts"/>
    <w:link w:val="Virsraksts2"/>
    <w:uiPriority w:val="9"/>
    <w:semiHidden/>
    <w:rsid w:val="00111782"/>
    <w:rPr>
      <w:rFonts w:asciiTheme="majorHAnsi" w:eastAsiaTheme="majorEastAsia" w:hAnsiTheme="majorHAnsi" w:cstheme="majorBidi"/>
      <w:b/>
      <w:bCs/>
      <w:color w:val="4F81BD" w:themeColor="accent1"/>
      <w:sz w:val="26"/>
      <w:szCs w:val="26"/>
      <w:lang w:val="en-GB"/>
    </w:rPr>
  </w:style>
  <w:style w:type="table" w:styleId="Reatabula">
    <w:name w:val="Table Grid"/>
    <w:basedOn w:val="Parastatabula"/>
    <w:uiPriority w:val="59"/>
    <w:rsid w:val="00BE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e">
    <w:name w:val="Hyperlink"/>
    <w:basedOn w:val="Noklusjumarindkopasfonts"/>
    <w:uiPriority w:val="99"/>
    <w:unhideWhenUsed/>
    <w:rsid w:val="0061569B"/>
    <w:rPr>
      <w:color w:val="0000FF" w:themeColor="hyperlink"/>
      <w:u w:val="single"/>
    </w:rPr>
  </w:style>
  <w:style w:type="paragraph" w:styleId="Galvene">
    <w:name w:val="header"/>
    <w:basedOn w:val="Parasts"/>
    <w:link w:val="GalveneRakstz"/>
    <w:uiPriority w:val="99"/>
    <w:unhideWhenUsed/>
    <w:rsid w:val="00EB41D0"/>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EB41D0"/>
    <w:rPr>
      <w:lang w:val="en-GB"/>
    </w:rPr>
  </w:style>
  <w:style w:type="paragraph" w:styleId="Kjene">
    <w:name w:val="footer"/>
    <w:basedOn w:val="Parasts"/>
    <w:link w:val="KjeneRakstz"/>
    <w:uiPriority w:val="99"/>
    <w:unhideWhenUsed/>
    <w:rsid w:val="00EB41D0"/>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EB41D0"/>
    <w:rPr>
      <w:lang w:val="en-GB"/>
    </w:rPr>
  </w:style>
  <w:style w:type="character" w:customStyle="1" w:styleId="Virsraksts3Rakstz">
    <w:name w:val="Virsraksts 3 Rakstz."/>
    <w:basedOn w:val="Noklusjumarindkopasfonts"/>
    <w:link w:val="Virsraksts3"/>
    <w:uiPriority w:val="9"/>
    <w:semiHidden/>
    <w:rsid w:val="00EB41D0"/>
    <w:rPr>
      <w:rFonts w:asciiTheme="majorHAnsi" w:eastAsiaTheme="majorEastAsia" w:hAnsiTheme="majorHAnsi" w:cstheme="majorBidi"/>
      <w:b/>
      <w:bCs/>
      <w:color w:val="4F81BD" w:themeColor="accent1"/>
      <w:lang w:val="lv-LV"/>
    </w:rPr>
  </w:style>
  <w:style w:type="paragraph" w:customStyle="1" w:styleId="BodyTimes">
    <w:name w:val="Body (Times)"/>
    <w:rsid w:val="00DD47BD"/>
    <w:pPr>
      <w:pBdr>
        <w:top w:val="nil"/>
        <w:left w:val="nil"/>
        <w:bottom w:val="nil"/>
        <w:right w:val="nil"/>
        <w:between w:val="nil"/>
        <w:bar w:val="nil"/>
      </w:pBdr>
      <w:spacing w:after="0" w:line="360" w:lineRule="auto"/>
      <w:ind w:firstLine="720"/>
    </w:pPr>
    <w:rPr>
      <w:rFonts w:ascii="Times" w:eastAsia="Arial Unicode MS" w:hAnsi="Arial Unicode MS" w:cs="Arial Unicode MS"/>
      <w:color w:val="000000"/>
      <w:sz w:val="24"/>
      <w:szCs w:val="24"/>
      <w:bdr w:val="nil"/>
    </w:rPr>
  </w:style>
  <w:style w:type="paragraph" w:styleId="Nosaukums">
    <w:name w:val="Title"/>
    <w:next w:val="BodyTimes"/>
    <w:link w:val="NosaukumsRakstz"/>
    <w:rsid w:val="00DD47BD"/>
    <w:pPr>
      <w:keepNext/>
      <w:pBdr>
        <w:top w:val="nil"/>
        <w:left w:val="nil"/>
        <w:bottom w:val="nil"/>
        <w:right w:val="nil"/>
        <w:between w:val="nil"/>
        <w:bar w:val="nil"/>
      </w:pBdr>
      <w:spacing w:after="0" w:line="240" w:lineRule="auto"/>
    </w:pPr>
    <w:rPr>
      <w:rFonts w:ascii="Helvetica" w:eastAsia="Arial Unicode MS" w:hAnsi="Arial Unicode MS" w:cs="Arial Unicode MS"/>
      <w:b/>
      <w:bCs/>
      <w:color w:val="000000"/>
      <w:sz w:val="60"/>
      <w:szCs w:val="60"/>
      <w:bdr w:val="nil"/>
    </w:rPr>
  </w:style>
  <w:style w:type="character" w:customStyle="1" w:styleId="NosaukumsRakstz">
    <w:name w:val="Nosaukums Rakstz."/>
    <w:basedOn w:val="Noklusjumarindkopasfonts"/>
    <w:link w:val="Nosaukums"/>
    <w:rsid w:val="00DD47BD"/>
    <w:rPr>
      <w:rFonts w:ascii="Helvetica" w:eastAsia="Arial Unicode MS" w:hAnsi="Arial Unicode MS" w:cs="Arial Unicode MS"/>
      <w:b/>
      <w:bCs/>
      <w:color w:val="000000"/>
      <w:sz w:val="60"/>
      <w:szCs w:val="60"/>
      <w:bdr w:val="nil"/>
    </w:rPr>
  </w:style>
  <w:style w:type="paragraph" w:customStyle="1" w:styleId="Heading">
    <w:name w:val="Heading"/>
    <w:next w:val="BodyTimes"/>
    <w:rsid w:val="00DD47BD"/>
    <w:pPr>
      <w:keepNext/>
      <w:pBdr>
        <w:top w:val="nil"/>
        <w:left w:val="nil"/>
        <w:bottom w:val="nil"/>
        <w:right w:val="nil"/>
        <w:between w:val="nil"/>
        <w:bar w:val="nil"/>
      </w:pBdr>
      <w:spacing w:after="0" w:line="240" w:lineRule="auto"/>
      <w:outlineLvl w:val="0"/>
    </w:pPr>
    <w:rPr>
      <w:rFonts w:ascii="Helvetica" w:eastAsia="Helvetica" w:hAnsi="Helvetica" w:cs="Helvetica"/>
      <w:b/>
      <w:bCs/>
      <w:color w:val="000000"/>
      <w:sz w:val="36"/>
      <w:szCs w:val="36"/>
      <w:bdr w:val="nil"/>
    </w:rPr>
  </w:style>
  <w:style w:type="paragraph" w:styleId="Apakvirsraksts">
    <w:name w:val="Subtitle"/>
    <w:next w:val="BodyTimes"/>
    <w:link w:val="ApakvirsrakstsRakstz"/>
    <w:rsid w:val="00DD47BD"/>
    <w:pPr>
      <w:keepNext/>
      <w:pBdr>
        <w:top w:val="nil"/>
        <w:left w:val="nil"/>
        <w:bottom w:val="nil"/>
        <w:right w:val="nil"/>
        <w:between w:val="nil"/>
        <w:bar w:val="nil"/>
      </w:pBdr>
      <w:spacing w:after="0" w:line="240" w:lineRule="auto"/>
    </w:pPr>
    <w:rPr>
      <w:rFonts w:ascii="Helvetica" w:eastAsia="Helvetica" w:hAnsi="Helvetica" w:cs="Helvetica"/>
      <w:color w:val="000000"/>
      <w:sz w:val="40"/>
      <w:szCs w:val="40"/>
      <w:bdr w:val="nil"/>
    </w:rPr>
  </w:style>
  <w:style w:type="character" w:customStyle="1" w:styleId="ApakvirsrakstsRakstz">
    <w:name w:val="Apakšvirsraksts Rakstz."/>
    <w:basedOn w:val="Noklusjumarindkopasfonts"/>
    <w:link w:val="Apakvirsraksts"/>
    <w:rsid w:val="00DD47BD"/>
    <w:rPr>
      <w:rFonts w:ascii="Helvetica" w:eastAsia="Helvetica" w:hAnsi="Helvetica" w:cs="Helvetica"/>
      <w:color w:val="000000"/>
      <w:sz w:val="40"/>
      <w:szCs w:val="40"/>
      <w:bdr w:val="nil"/>
    </w:rPr>
  </w:style>
  <w:style w:type="paragraph" w:customStyle="1" w:styleId="Textbody">
    <w:name w:val="Text body"/>
    <w:rsid w:val="00200847"/>
    <w:pPr>
      <w:pBdr>
        <w:top w:val="nil"/>
        <w:left w:val="nil"/>
        <w:bottom w:val="nil"/>
        <w:right w:val="nil"/>
        <w:between w:val="nil"/>
        <w:bar w:val="nil"/>
      </w:pBdr>
      <w:suppressAutoHyphens/>
      <w:spacing w:after="120" w:line="240" w:lineRule="auto"/>
    </w:pPr>
    <w:rPr>
      <w:rFonts w:ascii="Times New Roman" w:eastAsia="Arial Unicode MS" w:hAnsi="Arial Unicode MS" w:cs="Arial Unicode MS"/>
      <w:color w:val="000000"/>
      <w:kern w:val="3"/>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9764">
      <w:bodyDiv w:val="1"/>
      <w:marLeft w:val="0"/>
      <w:marRight w:val="0"/>
      <w:marTop w:val="0"/>
      <w:marBottom w:val="0"/>
      <w:divBdr>
        <w:top w:val="none" w:sz="0" w:space="0" w:color="auto"/>
        <w:left w:val="none" w:sz="0" w:space="0" w:color="auto"/>
        <w:bottom w:val="none" w:sz="0" w:space="0" w:color="auto"/>
        <w:right w:val="none" w:sz="0" w:space="0" w:color="auto"/>
      </w:divBdr>
    </w:div>
    <w:div w:id="460732021">
      <w:bodyDiv w:val="1"/>
      <w:marLeft w:val="0"/>
      <w:marRight w:val="0"/>
      <w:marTop w:val="0"/>
      <w:marBottom w:val="0"/>
      <w:divBdr>
        <w:top w:val="none" w:sz="0" w:space="0" w:color="auto"/>
        <w:left w:val="none" w:sz="0" w:space="0" w:color="auto"/>
        <w:bottom w:val="none" w:sz="0" w:space="0" w:color="auto"/>
        <w:right w:val="none" w:sz="0" w:space="0" w:color="auto"/>
      </w:divBdr>
    </w:div>
    <w:div w:id="564950878">
      <w:bodyDiv w:val="1"/>
      <w:marLeft w:val="0"/>
      <w:marRight w:val="0"/>
      <w:marTop w:val="0"/>
      <w:marBottom w:val="0"/>
      <w:divBdr>
        <w:top w:val="none" w:sz="0" w:space="0" w:color="auto"/>
        <w:left w:val="none" w:sz="0" w:space="0" w:color="auto"/>
        <w:bottom w:val="none" w:sz="0" w:space="0" w:color="auto"/>
        <w:right w:val="none" w:sz="0" w:space="0" w:color="auto"/>
      </w:divBdr>
    </w:div>
    <w:div w:id="883294422">
      <w:bodyDiv w:val="1"/>
      <w:marLeft w:val="0"/>
      <w:marRight w:val="0"/>
      <w:marTop w:val="0"/>
      <w:marBottom w:val="0"/>
      <w:divBdr>
        <w:top w:val="none" w:sz="0" w:space="0" w:color="auto"/>
        <w:left w:val="none" w:sz="0" w:space="0" w:color="auto"/>
        <w:bottom w:val="none" w:sz="0" w:space="0" w:color="auto"/>
        <w:right w:val="none" w:sz="0" w:space="0" w:color="auto"/>
      </w:divBdr>
    </w:div>
    <w:div w:id="1149206443">
      <w:bodyDiv w:val="1"/>
      <w:marLeft w:val="0"/>
      <w:marRight w:val="0"/>
      <w:marTop w:val="0"/>
      <w:marBottom w:val="0"/>
      <w:divBdr>
        <w:top w:val="none" w:sz="0" w:space="0" w:color="auto"/>
        <w:left w:val="none" w:sz="0" w:space="0" w:color="auto"/>
        <w:bottom w:val="none" w:sz="0" w:space="0" w:color="auto"/>
        <w:right w:val="none" w:sz="0" w:space="0" w:color="auto"/>
      </w:divBdr>
    </w:div>
    <w:div w:id="1400519694">
      <w:bodyDiv w:val="1"/>
      <w:marLeft w:val="0"/>
      <w:marRight w:val="0"/>
      <w:marTop w:val="0"/>
      <w:marBottom w:val="0"/>
      <w:divBdr>
        <w:top w:val="none" w:sz="0" w:space="0" w:color="auto"/>
        <w:left w:val="none" w:sz="0" w:space="0" w:color="auto"/>
        <w:bottom w:val="none" w:sz="0" w:space="0" w:color="auto"/>
        <w:right w:val="none" w:sz="0" w:space="0" w:color="auto"/>
      </w:divBdr>
    </w:div>
    <w:div w:id="1446196079">
      <w:bodyDiv w:val="1"/>
      <w:marLeft w:val="0"/>
      <w:marRight w:val="0"/>
      <w:marTop w:val="0"/>
      <w:marBottom w:val="0"/>
      <w:divBdr>
        <w:top w:val="none" w:sz="0" w:space="0" w:color="auto"/>
        <w:left w:val="none" w:sz="0" w:space="0" w:color="auto"/>
        <w:bottom w:val="none" w:sz="0" w:space="0" w:color="auto"/>
        <w:right w:val="none" w:sz="0" w:space="0" w:color="auto"/>
      </w:divBdr>
    </w:div>
    <w:div w:id="183622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2390063" TargetMode="External"/><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Rasmuss\Documents\CALCULATING%20SHARP%20AND%20ALPH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smuss\Documents\CALCULATING%20SHARP%20AND%20ALPH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smuss\Documents\CALCULATING%20SHARP%20AND%20ALPH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Market Weighted Index</a:t>
            </a:r>
          </a:p>
        </c:rich>
      </c:tx>
      <c:overlay val="1"/>
    </c:title>
    <c:autoTitleDeleted val="0"/>
    <c:plotArea>
      <c:layout>
        <c:manualLayout>
          <c:layoutTarget val="inner"/>
          <c:xMode val="edge"/>
          <c:yMode val="edge"/>
          <c:x val="8.607174103237096E-2"/>
          <c:y val="6.0659813356663747E-2"/>
          <c:w val="0.63048425196850388"/>
          <c:h val="0.89719889180519097"/>
        </c:manualLayout>
      </c:layout>
      <c:barChart>
        <c:barDir val="col"/>
        <c:grouping val="clustered"/>
        <c:varyColors val="0"/>
        <c:ser>
          <c:idx val="0"/>
          <c:order val="0"/>
          <c:tx>
            <c:v>Annual Stdev</c:v>
          </c:tx>
          <c:invertIfNegative val="0"/>
          <c:cat>
            <c:numRef>
              <c:f>Sheet2!$H$18:$H$33</c:f>
              <c:numCache>
                <c:formatCode>General</c:formatCode>
                <c:ptCount val="16"/>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numCache>
            </c:numRef>
          </c:cat>
          <c:val>
            <c:numRef>
              <c:f>Sheet2!$I$18:$I$33</c:f>
              <c:numCache>
                <c:formatCode>General</c:formatCode>
                <c:ptCount val="16"/>
                <c:pt idx="0">
                  <c:v>44.147981007004496</c:v>
                </c:pt>
                <c:pt idx="1">
                  <c:v>44.426323791010411</c:v>
                </c:pt>
                <c:pt idx="2">
                  <c:v>32.79670259502349</c:v>
                </c:pt>
                <c:pt idx="3">
                  <c:v>32.721905076792773</c:v>
                </c:pt>
                <c:pt idx="4">
                  <c:v>32.507524038365631</c:v>
                </c:pt>
                <c:pt idx="5">
                  <c:v>31.590448817480475</c:v>
                </c:pt>
                <c:pt idx="6">
                  <c:v>25.007307355015801</c:v>
                </c:pt>
                <c:pt idx="7">
                  <c:v>15.404212861199012</c:v>
                </c:pt>
                <c:pt idx="8">
                  <c:v>17.191303715461594</c:v>
                </c:pt>
                <c:pt idx="9">
                  <c:v>13.70417293767721</c:v>
                </c:pt>
                <c:pt idx="10">
                  <c:v>16.392960157275731</c:v>
                </c:pt>
                <c:pt idx="11">
                  <c:v>20.05969833203396</c:v>
                </c:pt>
                <c:pt idx="12">
                  <c:v>24.104333670546492</c:v>
                </c:pt>
                <c:pt idx="13">
                  <c:v>14.783086983768294</c:v>
                </c:pt>
                <c:pt idx="14">
                  <c:v>15.455545405679731</c:v>
                </c:pt>
                <c:pt idx="15">
                  <c:v>12.605869722898829</c:v>
                </c:pt>
              </c:numCache>
            </c:numRef>
          </c:val>
        </c:ser>
        <c:ser>
          <c:idx val="1"/>
          <c:order val="1"/>
          <c:tx>
            <c:v>Annual Return %</c:v>
          </c:tx>
          <c:invertIfNegative val="0"/>
          <c:val>
            <c:numRef>
              <c:f>Sheet2!$N$18:$N$33</c:f>
              <c:numCache>
                <c:formatCode>General</c:formatCode>
                <c:ptCount val="16"/>
                <c:pt idx="0">
                  <c:v>96.300109831294861</c:v>
                </c:pt>
                <c:pt idx="1">
                  <c:v>-29.466521545008462</c:v>
                </c:pt>
                <c:pt idx="2">
                  <c:v>-54.322094487387318</c:v>
                </c:pt>
                <c:pt idx="3">
                  <c:v>-55.613465545229744</c:v>
                </c:pt>
                <c:pt idx="4">
                  <c:v>-59.716145898952263</c:v>
                </c:pt>
                <c:pt idx="5">
                  <c:v>26.568555222818713</c:v>
                </c:pt>
                <c:pt idx="6">
                  <c:v>42.161711882834574</c:v>
                </c:pt>
                <c:pt idx="7">
                  <c:v>12.744752824979333</c:v>
                </c:pt>
                <c:pt idx="8">
                  <c:v>44.187860682394998</c:v>
                </c:pt>
                <c:pt idx="9">
                  <c:v>19.186172665866884</c:v>
                </c:pt>
                <c:pt idx="10">
                  <c:v>25.844716954043246</c:v>
                </c:pt>
                <c:pt idx="11">
                  <c:v>-58.747349306176879</c:v>
                </c:pt>
                <c:pt idx="12">
                  <c:v>23.889311645369382</c:v>
                </c:pt>
                <c:pt idx="13">
                  <c:v>49.410520446329834</c:v>
                </c:pt>
                <c:pt idx="14">
                  <c:v>19.886997534813446</c:v>
                </c:pt>
                <c:pt idx="15">
                  <c:v>11.756435740664607</c:v>
                </c:pt>
              </c:numCache>
            </c:numRef>
          </c:val>
        </c:ser>
        <c:dLbls>
          <c:showLegendKey val="0"/>
          <c:showVal val="0"/>
          <c:showCatName val="0"/>
          <c:showSerName val="0"/>
          <c:showPercent val="0"/>
          <c:showBubbleSize val="0"/>
        </c:dLbls>
        <c:gapWidth val="150"/>
        <c:axId val="206256000"/>
        <c:axId val="206257536"/>
      </c:barChart>
      <c:catAx>
        <c:axId val="206256000"/>
        <c:scaling>
          <c:orientation val="minMax"/>
        </c:scaling>
        <c:delete val="0"/>
        <c:axPos val="b"/>
        <c:numFmt formatCode="General" sourceLinked="1"/>
        <c:majorTickMark val="out"/>
        <c:minorTickMark val="none"/>
        <c:tickLblPos val="nextTo"/>
        <c:crossAx val="206257536"/>
        <c:crosses val="autoZero"/>
        <c:auto val="1"/>
        <c:lblAlgn val="ctr"/>
        <c:lblOffset val="100"/>
        <c:noMultiLvlLbl val="0"/>
      </c:catAx>
      <c:valAx>
        <c:axId val="206257536"/>
        <c:scaling>
          <c:orientation val="minMax"/>
        </c:scaling>
        <c:delete val="0"/>
        <c:axPos val="l"/>
        <c:majorGridlines/>
        <c:numFmt formatCode="General" sourceLinked="1"/>
        <c:majorTickMark val="out"/>
        <c:minorTickMark val="none"/>
        <c:tickLblPos val="nextTo"/>
        <c:crossAx val="206256000"/>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Equal Weighted</a:t>
            </a:r>
            <a:r>
              <a:rPr lang="en-US" baseline="0"/>
              <a:t> Index</a:t>
            </a:r>
            <a:endParaRPr lang="en-US"/>
          </a:p>
        </c:rich>
      </c:tx>
      <c:overlay val="1"/>
    </c:title>
    <c:autoTitleDeleted val="0"/>
    <c:plotArea>
      <c:layout/>
      <c:barChart>
        <c:barDir val="col"/>
        <c:grouping val="clustered"/>
        <c:varyColors val="0"/>
        <c:ser>
          <c:idx val="3"/>
          <c:order val="0"/>
          <c:tx>
            <c:v>Annual Stdev</c:v>
          </c:tx>
          <c:invertIfNegative val="0"/>
          <c:cat>
            <c:numRef>
              <c:f>Sheet2!$H$18:$H$50</c:f>
              <c:numCache>
                <c:formatCode>General</c:formatCode>
                <c:ptCount val="33"/>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pt idx="17">
                  <c:v>1999</c:v>
                </c:pt>
                <c:pt idx="18">
                  <c:v>2000</c:v>
                </c:pt>
                <c:pt idx="19">
                  <c:v>2001</c:v>
                </c:pt>
                <c:pt idx="20">
                  <c:v>2002</c:v>
                </c:pt>
                <c:pt idx="21">
                  <c:v>2003</c:v>
                </c:pt>
                <c:pt idx="22">
                  <c:v>2004</c:v>
                </c:pt>
                <c:pt idx="23">
                  <c:v>2005</c:v>
                </c:pt>
                <c:pt idx="24">
                  <c:v>2006</c:v>
                </c:pt>
                <c:pt idx="25">
                  <c:v>2007</c:v>
                </c:pt>
                <c:pt idx="26">
                  <c:v>2008</c:v>
                </c:pt>
                <c:pt idx="27">
                  <c:v>2009</c:v>
                </c:pt>
                <c:pt idx="28">
                  <c:v>2010</c:v>
                </c:pt>
                <c:pt idx="29">
                  <c:v>2011</c:v>
                </c:pt>
                <c:pt idx="30">
                  <c:v>2012</c:v>
                </c:pt>
                <c:pt idx="31">
                  <c:v>2013</c:v>
                </c:pt>
                <c:pt idx="32">
                  <c:v>2014</c:v>
                </c:pt>
              </c:numCache>
            </c:numRef>
          </c:cat>
          <c:val>
            <c:numRef>
              <c:f>Sheet2!$I$35:$I$50</c:f>
              <c:numCache>
                <c:formatCode>General</c:formatCode>
                <c:ptCount val="16"/>
                <c:pt idx="0">
                  <c:v>10.884707568167148</c:v>
                </c:pt>
                <c:pt idx="1">
                  <c:v>8.8447416661109877</c:v>
                </c:pt>
                <c:pt idx="2">
                  <c:v>3.9759970293659452</c:v>
                </c:pt>
                <c:pt idx="3">
                  <c:v>3.9573681039474904</c:v>
                </c:pt>
                <c:pt idx="4">
                  <c:v>4.8952434368765907</c:v>
                </c:pt>
                <c:pt idx="5">
                  <c:v>4.7944450858522547</c:v>
                </c:pt>
                <c:pt idx="6">
                  <c:v>3.4023776470500562</c:v>
                </c:pt>
                <c:pt idx="7">
                  <c:v>1.6907859139770069</c:v>
                </c:pt>
                <c:pt idx="8">
                  <c:v>1.5208621090883563</c:v>
                </c:pt>
                <c:pt idx="9">
                  <c:v>1.2580773279088502</c:v>
                </c:pt>
                <c:pt idx="10">
                  <c:v>1.3495059202859352</c:v>
                </c:pt>
                <c:pt idx="11">
                  <c:v>1.3792774879103065</c:v>
                </c:pt>
                <c:pt idx="12">
                  <c:v>1.8787101589590323</c:v>
                </c:pt>
                <c:pt idx="13">
                  <c:v>1.1929644065877947</c:v>
                </c:pt>
                <c:pt idx="14">
                  <c:v>1.1826619392422864</c:v>
                </c:pt>
                <c:pt idx="15">
                  <c:v>0.99833252832828334</c:v>
                </c:pt>
              </c:numCache>
            </c:numRef>
          </c:val>
        </c:ser>
        <c:ser>
          <c:idx val="0"/>
          <c:order val="1"/>
          <c:tx>
            <c:v>Annual Returns</c:v>
          </c:tx>
          <c:invertIfNegative val="0"/>
          <c:val>
            <c:numRef>
              <c:f>Sheet2!$N$35:$N$50</c:f>
              <c:numCache>
                <c:formatCode>General</c:formatCode>
                <c:ptCount val="16"/>
                <c:pt idx="0">
                  <c:v>15.280915140000939</c:v>
                </c:pt>
                <c:pt idx="1">
                  <c:v>-6.0946927152712433</c:v>
                </c:pt>
                <c:pt idx="2">
                  <c:v>-8.6394279507806875</c:v>
                </c:pt>
                <c:pt idx="3">
                  <c:v>-9.0678514829956143</c:v>
                </c:pt>
                <c:pt idx="4">
                  <c:v>-12.45992384646315</c:v>
                </c:pt>
                <c:pt idx="5">
                  <c:v>4.4578449685622523</c:v>
                </c:pt>
                <c:pt idx="6">
                  <c:v>5.2566660523039044</c:v>
                </c:pt>
                <c:pt idx="7">
                  <c:v>0.80714632271017273</c:v>
                </c:pt>
                <c:pt idx="8">
                  <c:v>3.4133171662844353</c:v>
                </c:pt>
                <c:pt idx="9">
                  <c:v>1.6309948756657144</c:v>
                </c:pt>
                <c:pt idx="10">
                  <c:v>2.0655774608137945</c:v>
                </c:pt>
                <c:pt idx="11">
                  <c:v>-5.7673379877507429</c:v>
                </c:pt>
                <c:pt idx="12">
                  <c:v>1.8130705408892833</c:v>
                </c:pt>
                <c:pt idx="13">
                  <c:v>3.1982780453420512</c:v>
                </c:pt>
                <c:pt idx="14">
                  <c:v>1.7277434525572843</c:v>
                </c:pt>
                <c:pt idx="15">
                  <c:v>0.88822462586553019</c:v>
                </c:pt>
              </c:numCache>
            </c:numRef>
          </c:val>
        </c:ser>
        <c:dLbls>
          <c:showLegendKey val="0"/>
          <c:showVal val="0"/>
          <c:showCatName val="0"/>
          <c:showSerName val="0"/>
          <c:showPercent val="0"/>
          <c:showBubbleSize val="0"/>
        </c:dLbls>
        <c:gapWidth val="150"/>
        <c:axId val="196239360"/>
        <c:axId val="196240896"/>
      </c:barChart>
      <c:catAx>
        <c:axId val="196239360"/>
        <c:scaling>
          <c:orientation val="minMax"/>
        </c:scaling>
        <c:delete val="0"/>
        <c:axPos val="b"/>
        <c:numFmt formatCode="General" sourceLinked="1"/>
        <c:majorTickMark val="out"/>
        <c:minorTickMark val="none"/>
        <c:tickLblPos val="nextTo"/>
        <c:crossAx val="196240896"/>
        <c:crosses val="autoZero"/>
        <c:auto val="1"/>
        <c:lblAlgn val="ctr"/>
        <c:lblOffset val="100"/>
        <c:noMultiLvlLbl val="0"/>
      </c:catAx>
      <c:valAx>
        <c:axId val="196240896"/>
        <c:scaling>
          <c:orientation val="minMax"/>
        </c:scaling>
        <c:delete val="0"/>
        <c:axPos val="l"/>
        <c:majorGridlines/>
        <c:numFmt formatCode="General" sourceLinked="1"/>
        <c:majorTickMark val="out"/>
        <c:minorTickMark val="none"/>
        <c:tickLblPos val="nextTo"/>
        <c:crossAx val="19623936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Sharp Ratios Comparison</a:t>
            </a:r>
          </a:p>
        </c:rich>
      </c:tx>
      <c:overlay val="1"/>
    </c:title>
    <c:autoTitleDeleted val="0"/>
    <c:plotArea>
      <c:layout/>
      <c:barChart>
        <c:barDir val="col"/>
        <c:grouping val="clustered"/>
        <c:varyColors val="0"/>
        <c:ser>
          <c:idx val="3"/>
          <c:order val="0"/>
          <c:tx>
            <c:v>Sharp Ratio Market Weighted Index</c:v>
          </c:tx>
          <c:invertIfNegative val="0"/>
          <c:cat>
            <c:numRef>
              <c:f>Sheet2!$H$18:$H$33</c:f>
              <c:numCache>
                <c:formatCode>General</c:formatCode>
                <c:ptCount val="16"/>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pt idx="15">
                  <c:v>2014</c:v>
                </c:pt>
              </c:numCache>
            </c:numRef>
          </c:cat>
          <c:val>
            <c:numRef>
              <c:f>Sheet2!$O$18:$O$33</c:f>
              <c:numCache>
                <c:formatCode>General</c:formatCode>
                <c:ptCount val="16"/>
                <c:pt idx="0">
                  <c:v>2.113831776102626</c:v>
                </c:pt>
                <c:pt idx="1">
                  <c:v>-0.76817654463133644</c:v>
                </c:pt>
                <c:pt idx="2">
                  <c:v>-1.7848814339899051</c:v>
                </c:pt>
                <c:pt idx="3">
                  <c:v>-1.8283161691513372</c:v>
                </c:pt>
                <c:pt idx="4">
                  <c:v>-1.9419958733875884</c:v>
                </c:pt>
                <c:pt idx="5">
                  <c:v>0.76422934758479477</c:v>
                </c:pt>
                <c:pt idx="6">
                  <c:v>1.5974427899114929</c:v>
                </c:pt>
                <c:pt idx="7">
                  <c:v>0.68411134588922762</c:v>
                </c:pt>
                <c:pt idx="8">
                  <c:v>2.4225652924619956</c:v>
                </c:pt>
                <c:pt idx="9">
                  <c:v>1.132007834924893</c:v>
                </c:pt>
                <c:pt idx="10">
                  <c:v>1.3059675633998975</c:v>
                </c:pt>
                <c:pt idx="11">
                  <c:v>-3.0930300219927247</c:v>
                </c:pt>
                <c:pt idx="12">
                  <c:v>0.97114983965532031</c:v>
                </c:pt>
                <c:pt idx="13">
                  <c:v>3.297450035379569</c:v>
                </c:pt>
                <c:pt idx="14">
                  <c:v>1.2101306454701897</c:v>
                </c:pt>
                <c:pt idx="15">
                  <c:v>0.91597138318348659</c:v>
                </c:pt>
              </c:numCache>
            </c:numRef>
          </c:val>
        </c:ser>
        <c:ser>
          <c:idx val="0"/>
          <c:order val="1"/>
          <c:tx>
            <c:v>Sharp Ratio Equal Weighted Index</c:v>
          </c:tx>
          <c:invertIfNegative val="0"/>
          <c:val>
            <c:numRef>
              <c:f>Sheet2!$O$35:$O$50</c:f>
              <c:numCache>
                <c:formatCode>General</c:formatCode>
                <c:ptCount val="16"/>
                <c:pt idx="0">
                  <c:v>1.1302288403287744</c:v>
                </c:pt>
                <c:pt idx="1">
                  <c:v>-1.2160254619899185</c:v>
                </c:pt>
                <c:pt idx="2">
                  <c:v>-3.2332919080146847</c:v>
                </c:pt>
                <c:pt idx="3">
                  <c:v>-3.355860189466354</c:v>
                </c:pt>
                <c:pt idx="4">
                  <c:v>-3.2425875625488203</c:v>
                </c:pt>
                <c:pt idx="5">
                  <c:v>0.42374827515129476</c:v>
                </c:pt>
                <c:pt idx="6">
                  <c:v>0.89428550104602833</c:v>
                </c:pt>
                <c:pt idx="7">
                  <c:v>-0.82766818546442278</c:v>
                </c:pt>
                <c:pt idx="8">
                  <c:v>0.57369579525039727</c:v>
                </c:pt>
                <c:pt idx="9">
                  <c:v>-1.6230692726805289</c:v>
                </c:pt>
                <c:pt idx="10">
                  <c:v>-1.756543060750863</c:v>
                </c:pt>
                <c:pt idx="11">
                  <c:v>-6.5724540088062398</c:v>
                </c:pt>
                <c:pt idx="12">
                  <c:v>0.70935831603097421</c:v>
                </c:pt>
                <c:pt idx="13">
                  <c:v>2.1243285069224074</c:v>
                </c:pt>
                <c:pt idx="14">
                  <c:v>0.45995819901111734</c:v>
                </c:pt>
                <c:pt idx="15">
                  <c:v>0.67953792174977345</c:v>
                </c:pt>
              </c:numCache>
            </c:numRef>
          </c:val>
        </c:ser>
        <c:dLbls>
          <c:showLegendKey val="0"/>
          <c:showVal val="0"/>
          <c:showCatName val="0"/>
          <c:showSerName val="0"/>
          <c:showPercent val="0"/>
          <c:showBubbleSize val="0"/>
        </c:dLbls>
        <c:gapWidth val="150"/>
        <c:axId val="196266240"/>
        <c:axId val="202768384"/>
      </c:barChart>
      <c:catAx>
        <c:axId val="196266240"/>
        <c:scaling>
          <c:orientation val="minMax"/>
        </c:scaling>
        <c:delete val="0"/>
        <c:axPos val="b"/>
        <c:numFmt formatCode="General" sourceLinked="1"/>
        <c:majorTickMark val="out"/>
        <c:minorTickMark val="none"/>
        <c:tickLblPos val="nextTo"/>
        <c:crossAx val="202768384"/>
        <c:crosses val="autoZero"/>
        <c:auto val="1"/>
        <c:lblAlgn val="ctr"/>
        <c:lblOffset val="100"/>
        <c:noMultiLvlLbl val="0"/>
      </c:catAx>
      <c:valAx>
        <c:axId val="202768384"/>
        <c:scaling>
          <c:orientation val="minMax"/>
        </c:scaling>
        <c:delete val="0"/>
        <c:axPos val="l"/>
        <c:majorGridlines/>
        <c:numFmt formatCode="General" sourceLinked="1"/>
        <c:majorTickMark val="out"/>
        <c:minorTickMark val="none"/>
        <c:tickLblPos val="nextTo"/>
        <c:crossAx val="19626624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Orb15</b:Tag>
    <b:SourceType>InternetSite</b:SourceType>
    <b:Guid>{329DC13B-D0D1-467D-8EF6-ED7ABBE4D119}</b:Guid>
    <b:Title>Orbis</b:Title>
    <b:Author>
      <b:Author>
        <b:Corporate>Orbis</b:Corporate>
      </b:Author>
    </b:Author>
    <b:InternetSiteTitle>Orbis Database</b:InternetSiteTitle>
    <b:YearAccessed>2015</b:YearAccessed>
    <b:MonthAccessed>January</b:MonthAccessed>
    <b:DayAccessed>29</b:DayAccessed>
    <b:URL>https://orbis.bvdinfo.com</b:URL>
    <b:RefOrder>1</b:RefOrder>
  </b:Source>
  <b:Source>
    <b:Tag>Tho15</b:Tag>
    <b:SourceType>InternetSite</b:SourceType>
    <b:Guid>{8DD8B094-3C30-42B2-99B7-56F1A098A5A4}</b:Guid>
    <b:Title>Equity Indices Information</b:Title>
    <b:Author>
      <b:Author>
        <b:Corporate>Thompson Reuters</b:Corporate>
      </b:Author>
    </b:Author>
    <b:InternetSiteTitle>Thompson Reuters</b:InternetSiteTitle>
    <b:YearAccessed>2015</b:YearAccessed>
    <b:MonthAccessed>January</b:MonthAccessed>
    <b:DayAccessed>29</b:DayAccessed>
    <b:URL>http://extranet.datastream.com/data/Equity%20indices/DSGlobalEquityIndicesNewsArchive.htm</b:URL>
    <b:RefOrder>2</b:RefOrder>
  </b:Source>
</b:Sources>
</file>

<file path=customXml/itemProps1.xml><?xml version="1.0" encoding="utf-8"?>
<ds:datastoreItem xmlns:ds="http://schemas.openxmlformats.org/officeDocument/2006/customXml" ds:itemID="{58C9F597-6E20-41CC-B754-FD3C01325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31</Pages>
  <Words>33608</Words>
  <Characters>19157</Characters>
  <Application>Microsoft Office Word</Application>
  <DocSecurity>0</DocSecurity>
  <Lines>159</Lines>
  <Paragraphs>105</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"Latvijas autoceļu uzturētājs"</Company>
  <LinksUpToDate>false</LinksUpToDate>
  <CharactersWithSpaces>52660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Rasmuss</dc:creator>
  <cp:lastModifiedBy>Admin</cp:lastModifiedBy>
  <cp:revision>3</cp:revision>
  <dcterms:created xsi:type="dcterms:W3CDTF">2015-03-02T15:36:00Z</dcterms:created>
  <dcterms:modified xsi:type="dcterms:W3CDTF">2015-03-02T15:47:00Z</dcterms:modified>
</cp:coreProperties>
</file>