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120"/>
        <w:jc w:val="center"/>
      </w:pPr>
      <w:r>
        <w:rPr>
          <w:rFonts w:ascii="Arial" w:cs="Arial" w:eastAsia="Arial" w:hAnsi="Arial"/>
          <w:b/>
          <w:bCs/>
          <w:color w:val="0F6E56"/>
          <w:sz w:val="56"/>
          <w:szCs w:val="56"/>
        </w:rPr>
        <w:t xml:space="preserve">Mbole Pay</w:t>
      </w:r>
    </w:p>
    <w:p>
      <w:pPr>
        <w:spacing w:after="80"/>
        <w:jc w:val="center"/>
      </w:pPr>
      <w:r>
        <w:rPr>
          <w:rFonts w:ascii="Arial" w:cs="Arial" w:eastAsia="Arial" w:hAnsi="Arial"/>
          <w:color w:val="5F5E5A"/>
          <w:sz w:val="30"/>
          <w:szCs w:val="30"/>
        </w:rPr>
        <w:t xml:space="preserve">System Requirements Document (SRD)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Version 2.0  —  Enhanced Edition</w:t>
      </w:r>
    </w:p>
    <w:p>
      <w:pPr>
        <w:spacing w:after="2880"/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Community Savings &amp; Loan Manager (Njangi/Tontine Digitization Platform)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1. Introduction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1.1 Purpose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Mbole Pay is a web-based platform designed to digitize and automate community savings groups ("njangi" or "tontine") by leveraging smart contracts, automated payments, and transparent record-keeping. This document specifies the complete functional and non-functional requirements for the system, including dispute resolution rules, smart contract governance, compliance obligations, and data architecture.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1.2 Scope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Mbole Pay will: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Enable digital management of community savings groups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Automate transactions, contributions, and payouts using smart contracts on the Binance Smart Chain (BSC)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Provide secure and transparent financial tracking with dual storage (PostgreSQL + IPFS)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Support dispute resolution through anonymous, quorum-gated voting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Comply with COBAC/BEAC financial regulations and Cameroonian Law No. 2010/012 on cybersecurity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Offer an accessible, scalable, and secure platform for tontines across Cameroon and the CEMAC zone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1.3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&amp; Responsibilities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End Users (Members)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Contribute, receive payouts, vote on disputes, view transaction history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Group Admins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Create and manage groups, approve members, set contribution rules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Super Admins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Platform-wide management, compliance monitoring, audit access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Developers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System implementation, smart contract deployment, and maintenance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COBAC / BEAC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Regulatory oversight of financial transactions in the CEMAC zone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Cameroonian Data Authority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Enforcement of Law No. 2010/012 on data privacy and cybersecurity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1.4 Document Conventions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Requirements marked [NEW] were absent in v1 of this SRD and have been added in this revision. Requirements marked [UPDATED] have been materially revised from their original form.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2. Functional Requirements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2.1 User Management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2.1.1 User Registration &amp;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Users can register via email, phone number, or social login (Google/Facebook OAuth2)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Multi-factor authentication (MFA) required for all accounts handling transactions above XAF 50,000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Admins can approve or reject member applications within 48 hours; pending members cannot contribute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Account suspension/reactivation by Super Admin, with mandatory reason logging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Password recovery via OTP to registered phone number or email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2.1.2 KYC / Identity Verification [NEW]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All users must complete tiered KYC verification before initiating or receiving payments: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KYC Tier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Requirements &amp; Transaction Limits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Tier 0 — Basic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Phone number verified. Limit: XAF 50,000 per transaction, XAF 200,000 per month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Tier 1 — Standard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National ID (CNI) uploaded and verified. Limit: XAF 500,000 per transaction, XAF 2,000,000 per month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Tier 2 — Full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ID + proof of address + selfie liveness check. No per-transaction limit; AML monitoring applies above XAF 5,000,000</w:t>
            </w:r>
          </w:p>
        </w:tc>
      </w:tr>
    </w:tbl>
    <w:p>
      <w:r>
        <w:t xml:space="preserve"/>
      </w:r>
    </w:p>
    <w:p>
      <w:pPr>
        <w:pBdr>
          <w:left w:val="single" w:color="0F6E56" w:sz="12" w:space="12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KYC verification should integrate with a regional identity provider (e.g., MTN Identity or a COBAC-approved bureau). Documents are stored encrypted in IPFS; only the verification status is held in PostgreSQL.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2.1.3 Role-Based Access Control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Contribute, view own transactions, vote on disputes, download personal statements: </w:t>
      </w:r>
      <w:r>
        <w:rPr>
          <w:rFonts w:ascii="Arial" w:cs="Arial" w:eastAsia="Arial" w:hAnsi="Arial"/>
          <w:color w:val="1A1A18"/>
          <w:sz w:val="22"/>
          <w:szCs w:val="22"/>
        </w:rPr>
        <w:t xml:space="preserve">Members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groups, manage members, set payout rules, view group-level reports: </w:t>
      </w:r>
      <w:r>
        <w:rPr>
          <w:rFonts w:ascii="Arial" w:cs="Arial" w:eastAsia="Arial" w:hAnsi="Arial"/>
          <w:color w:val="1A1A18"/>
          <w:sz w:val="22"/>
          <w:szCs w:val="22"/>
        </w:rPr>
        <w:t xml:space="preserve">Admins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Platform-wide management, compliance reports, audit log access, freeze/unfreeze groups: </w:t>
      </w:r>
      <w:r>
        <w:rPr>
          <w:rFonts w:ascii="Arial" w:cs="Arial" w:eastAsia="Arial" w:hAnsi="Arial"/>
          <w:color w:val="1A1A18"/>
          <w:sz w:val="22"/>
          <w:szCs w:val="22"/>
        </w:rPr>
        <w:t xml:space="preserve">Super Admins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2.2 Savings Group Management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2.2.1 Group Creation &amp;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Admins create groups with configurable rules: contribution amount, frequency (weekly/biweekly/monthly), payout order method (first-come or lottery), and minimum member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Group rules are immutable once the first contribution cycle begins; rule changes require a new group or unanimous member vote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Each group is associated with a dedicated smart contract instance deployed at creation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2.2.2 Member Lifecycle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Members join a group by invitation or application; Admin approval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Waiting list supported: members who apply after a cycle begins are queued for the next cycle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2.2.3 Member Exit Rules [NEW]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The following rules govern member departure mid-cycle: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 member may request to exit before their scheduled payout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Exit request is subject to Admin approval and a 7-day notice period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If the member has already received their payout: they must repay the outstanding contribution balance before exit is confirmed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If the member has not yet received their payout: their payout entitlement is forfeited unless the group votes (simple majority) to return their contributions minus a penalty fee (default: 5%, configurable per group)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The vacated payout slot is moved to the end of the queue or redistributed by lottery, per group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All exit events are recorded on-chain as immutable audit entries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2.2.4 Group Dissolution [NEW]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Groups may be dissolved under the following conditions: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Unanimous member vote to dissolve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All scheduled payout cycles are complete (natural dissolution)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Super Admin intervention due to regulatory non-compliance or fraud determination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Dissolution procedure: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All outstanding payouts are triggered immediately by the smart contract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Undistributed funds (e.g., penalty reserves) are distributed proportionally to all members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The group's smart contract is marked inactive (not destructed, to preserve audit trail)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A final dissolution report is generated and stored on IPFS, linked to the group record in PostgreSQL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The Admin holding dissolution authority must be Tier 2 KYC verified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2.3 Payment &amp; Payout Processing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2.3.1 Contribution Collection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Supports mobile money (MTN MoMo, Orange Money), bank transfer, and card payments via Flutterwave/Paystack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Auto-debit for scheduled contributions triggered by the smart contract payout scheduler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Contribution confirmation is only recorded on-chain after payment gateway webhook confirms settlement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2.3.2 Payout Scheduling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First-come, first-paid system based on agreed payout sequence encoded in the smart contract at group creation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Automated notifications to recipients 48 hours and 24 hours before payout execution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Payouts execute automatically when all members in the current cycle have contributed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2.3.3 Payment Failure Handling [NEW]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The system must handle payment and payout failures gracefully. The following retry and escalation logic applies: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Scenario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Auto-debit fails (member)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Retry after 24 h. After 3 failed retries: mark member delinquent, notify Admin, pause member's payout eligibility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Payout transfer fails (gateway timeout)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Retry up to 3 times with exponential backoff (1h, 4h, 12h). If all fail: hold funds in escrow smart contract, alert Admin and Recipient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Payout fails (recipient account invalid)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Admin notified. Member must update payment details within 72 h or payout is deferred to next cycle and their queue position moves to end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Gateway API down &gt; 15 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Queue payout via Redis message queue; process automatically when gateway recovers. SLA: max 4-hour delay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Smart contract execution 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Transaction reverted; funds not moved. Admin and Super Admin alerted. Manual intervention required; logged in audit trail</w:t>
            </w:r>
          </w:p>
        </w:tc>
      </w:tr>
    </w:tbl>
    <w:p>
      <w:pPr>
        <w:pBdr>
          <w:left w:val="single" w:color="854F0B" w:sz="12" w:space="12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854F0B"/>
          <w:sz w:val="20"/>
          <w:szCs w:val="20"/>
        </w:rPr>
        <w:t xml:space="preserve">All deferred or failed payouts must appear prominently on the group Admin dashboard with status, retry count, and escalation timestamp.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2.4 Dispute Resolution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2.4.1 Raising a Dispute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Any member may raise a dispute against a contribution record, a payout execution, or a member's conduct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Disputes must include: category (payment/conduct/rule), description (max 1,000 chars), and optional evidence attachment (stored on IPFS)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 member may not raise more than 3 active disputes simultaneously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2.4.2 Voting Rules [NEW]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All dispute votes are anonymous. The following rules govern the process: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Voting window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72 hours from dispute submission (configurable per group: 48–96 h)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Quorum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Minimum 60% of active group members must vote for the result to be binding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Resolution threshold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Simple majority (&gt;50%) of cast votes determines the outcome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Tie-break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If votes are exactly split (50/50), the dispute is escalated to the group Admin for casting decision. Admin decision is final and logged on-chain.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Admin-conflict rule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If the dispute implicates the group Admin, they are automatically recused. Super Admin assumes the tie-break role for that dispute.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Quorum not reached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If quorum is not reached within the voting window, the dispute is auto-escalated to Super Admin for review within 48 hours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Repeat disputes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 member may not re-raise a dispute on the same event within 30 days of a resolved vote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2.4.3 Dispute Execution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Majority-approved resolutions are executed by the smart contract (e.g., reversal of contribution record, member penalty)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All votes, outcomes, and smart contract executions are recorded on-chain as an immutable audit trail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Parties to the dispute receive SMS/email notification of outcome within 1 hour of resolution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2.5 Reporting &amp;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Downloadable member statements (PDF) covering contributions, payouts, and dispute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Group dashboards with: total pool size, contribution compliance rate, pending payouts, active disputes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Real-time SMS/email alerts for: contribution received, payout scheduled, payout sent, dispute raised, dispute resolved, delinquency warning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Notification channels configurable per user (SMS only, email only, or both)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Report export formats: PDF and CSV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3. Non-Functional Requirements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3.1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System handles 10,000+ concurrent users under normal 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REST API response time: under 500ms at P95 for read operations, under 1,500ms for write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End-to-end transaction confirmation (payment gateway + on-chain): under 3 seconds for BSC transactions at standard gas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Notification delivery: SMS within 60 seconds, email within 120 seconds of triggering event</w:t>
      </w:r>
    </w:p>
    <w:p>
      <w:pPr>
        <w:pBdr>
          <w:left w:val="single" w:color="0F6E56" w:sz="12" w:space="12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[NEW] Load-testing baseline: 10,000 concurrent users simulated using k6 or Locust before each major release. Results documented in CI/CD pipeline artifacts.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3.2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End-to-end encryption (TLS 1.3) for all API traffic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AES-256 encryption at rest for all user PII and financial data in PostgreSQL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Smart contract audits by an independent security firm before mainnet deployment and after any contract upgrade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Secure authentication via OAuth2 + JWT sessions (access token TTL: 15 minutes; refresh token TTL: 7 days)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All admin actions logged in a tamper-evident audit log (append-only, IPFS-anchored)</w:t>
      </w:r>
    </w:p>
    <w:p>
      <w:pPr>
        <w:pBdr>
          <w:left w:val="single" w:color="0F6E56" w:sz="12" w:space="12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[NEW] Security testing cadence: annual external penetration test + continuous SAST via GitHub Actions (Semgrep/Snyk). Critical findings block deployment. Smart contract audit required before BSC mainnet go-live and after any Solidity code change.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3.3 Scalability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Infrastructure as Code (Terraform + Ansible) for automated environment provisioning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Kubernetes horizontal pod autoscaling: Backend API scales from 2 to 20 pods based on CPU/memory thresholds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Database read replicas for reporting queries; primary PostgreSQL instance for writes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BSC throughput ceiling: ~100 TPS; groups with &gt;500 members or &gt;100 simultaneous payouts should use batched contract calls to stay within this limit</w:t>
      </w:r>
    </w:p>
    <w:p>
      <w:pPr>
        <w:pBdr>
          <w:left w:val="single" w:color="0F6E56" w:sz="12" w:space="12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[NEW] Database sharding strategy: partition contribution and payout tables by group_id. Groups exceeding 10,000 transactions are migrated to a dedicated shard. IPFS cluster with pinning service (Pinata or Web3.Storage) for high-availability document storage.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3.4 Usability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Mobile-first responsive design (breakpoints: 320px, 768px, 1024px, 1440px)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Multilingual support: English, French, Cameroonian Pidgin (default: French)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WCAG 2.1 Level AA compliance for all public-facing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Offline-capable progressive web app (PWA) for core read operations (contribution history, group status)</w:t>
      </w:r>
    </w:p>
    <w:p>
      <w:pPr>
        <w:pBdr>
          <w:left w:val="single" w:color="0F6E56" w:sz="12" w:space="12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[NEW] Accessibility requirement: WCAG 2.1 AA minimum. Screen reader support required for all form flows. Contrast ratio ≥4.5:1 on all text. Keyboard navigation for all interactive elements.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3.5 Compliance [UPDATED]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Mbole Pay operates primarily in Cameroon and the CEMAC economic zone. The following regulatory frameworks apply: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3.5.1 Primary Regulatory Framework (CEMAC Zone)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payment processing activities involving third-party funds must comply with COBAC Regulation R-2009/02 on electronic money. Mbole Pay must obtain or partner with a COBAC-licensed electronic money institution before processing live transactions.: </w:t>
      </w:r>
      <w:r>
        <w:rPr>
          <w:rFonts w:ascii="Arial" w:cs="Arial" w:eastAsia="Arial" w:hAnsi="Arial"/>
          <w:color w:val="1A1A18"/>
          <w:sz w:val="22"/>
          <w:szCs w:val="22"/>
        </w:rPr>
        <w:t xml:space="preserve">COBAC (Commission Bancaire de l’Afrique Centrale)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Cross-border fund transfers within the CEMAC zone comply with BEAC foreign exchange rules. International transfers (outside CEMAC) require additional clearance.: </w:t>
      </w:r>
      <w:r>
        <w:rPr>
          <w:rFonts w:ascii="Arial" w:cs="Arial" w:eastAsia="Arial" w:hAnsi="Arial"/>
          <w:color w:val="1A1A18"/>
          <w:sz w:val="22"/>
          <w:szCs w:val="22"/>
        </w:rPr>
        <w:t xml:space="preserve">BEAC Regulations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Anti-Money Laundering and Counter-Terrorism Financing obligations per CEMAC Directive No. 01/11-CEMAC-UMAC-CM. Suspicious transaction reporting (STR) to GABAC required for transactions matching risk thresholds (see KYC tiers above).: </w:t>
      </w:r>
      <w:r>
        <w:rPr>
          <w:rFonts w:ascii="Arial" w:cs="Arial" w:eastAsia="Arial" w:hAnsi="Arial"/>
          <w:color w:val="1A1A18"/>
          <w:sz w:val="22"/>
          <w:szCs w:val="22"/>
        </w:rPr>
        <w:t xml:space="preserve">CEMAC AML/CFT Directive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 cybersecurity and cybercrime. User personal data processed by Mbole Pay is subject to this law. Data storage on servers physically located in Cameroon or a CEMAC country is preferred; if AWS/GCP/Azure regions outside CEMAC are used, data transfer agreements and encryption-at-rest are mandatory.: </w:t>
      </w:r>
      <w:r>
        <w:rPr>
          <w:rFonts w:ascii="Arial" w:cs="Arial" w:eastAsia="Arial" w:hAnsi="Arial"/>
          <w:color w:val="1A1A18"/>
          <w:sz w:val="22"/>
          <w:szCs w:val="22"/>
        </w:rPr>
        <w:t xml:space="preserve">Cameroonian Law No. 2010/012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3.5.2 Secondary / International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Applies only to users who are EU residents. EU-resident user data must be handled under a lawful basis (consent or legitimate interest) with data subject rights (access, erasure, portability) implemented.: </w:t>
      </w:r>
      <w:r>
        <w:rPr>
          <w:rFonts w:ascii="Arial" w:cs="Arial" w:eastAsia="Arial" w:hAnsi="Arial"/>
          <w:color w:val="1A1A18"/>
          <w:sz w:val="22"/>
          <w:szCs w:val="22"/>
        </w:rPr>
        <w:t xml:space="preserve">GDPR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Card payment handling must comply with PCI-DSS Level 4 standards. Card data must NOT be stored by Mbole Pay; all card tokenization is delegated to Flutterwave/Paystack.: </w:t>
      </w:r>
      <w:r>
        <w:rPr>
          <w:rFonts w:ascii="Arial" w:cs="Arial" w:eastAsia="Arial" w:hAnsi="Arial"/>
          <w:color w:val="1A1A18"/>
          <w:sz w:val="22"/>
          <w:szCs w:val="22"/>
        </w:rPr>
        <w:t xml:space="preserve">PCI-DSS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3.5.3 Smart Contract Governance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Smart contract code published to a public repository before deployment (open-source audit)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No single admin wallet may hold exclusive control over contract upgrade keys; multi-sig (3-of-5) required for all privileged contract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Contract upgrade events emit on-chain events visible to all members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4. System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4.1 High-Level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&amp; Rationale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React.js + TailwindCSS. Progressive Web App (PWA) with offline support for low-connectivity environments.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Node.js + Express.js. REST endpoints. Stateless, horizontally scalable. JWT authentication.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Decoupled JWT/OAuth2 service. Allows all microservices to verify tokens independently.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TLS termination, rate limiting (100 req/min per IP), request routing, DDoS protection.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Message Queue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Redis Streams for async payout scheduling, notification dispatch, and payment retry logic.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PostgreSQL 15. Handles all transactional data (users, groups, contributions, payouts, disputes). Row-level security for multi-tenancy.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Immutable 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IPFS (via Pinata pinning service). Stores KYC documents, dispute evidence, audit trail entries, and dissolution reports. Content-addressed — tamper-evident by design.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Blockchain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Binance Smart Chain (BSC) mainnet. Smart contracts in Solidity, compiled and tested via Hardhat. Web3.js for backend-to-chain communication.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Docker containers, Kubernetes (K8s) orchestration, Terraform IaC, GitHub Actions CI/CD, hosted on AWS/GCP (CEMAC-region preferred).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4.2 Blockchain Selection Rationale [NEW]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Ethereum mainnet was evaluated and rejected for the following reasons: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Gas fees on Ethereum mainnet average $2–$15 per transaction. A tontine group of 20 members making monthly contributions would incur $480–$3,600/year in gas alone — prohibitive for the target demographic.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Binance Smart Chain (BSC) is selected as the primary deployment chain for the following reasons: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BSC Position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Average gas fee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~$0.01–0.10 per transaction. Viable at target transaction volumes.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Transaction throughput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~100 TPS; sufficient for expected load (see scalability limits above)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EVM compatibility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Full Solidity + Hardhat + Web3.js support. Minimal re-work from Ethereum toolchain.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Ecosystem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MTN MoMo and Flutterwave have existing BSC integrations; reduces bridge complexity.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Risk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BSC is more centralized than Ethereum; noted as acceptable trade-off for cost at this stage</w:t>
            </w:r>
          </w:p>
        </w:tc>
      </w:tr>
    </w:tbl>
    <w:p>
      <w:pPr>
        <w:pBdr>
          <w:left w:val="single" w:color="0F6E56" w:sz="12" w:space="12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Polygon (PoS) is the recommended migration path if BSC throughput or centralization becomes a concern at scale. The contract architecture should use an upgradeable proxy pattern (OpenZeppelin TransparentUpgradeableProxy) to enable chain migration without data loss.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4.3 Data Storage Architecture [NEW]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The following table defines what data lives in each storage layer and why: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 Layer &amp; Justification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User profiles, KYC status, group config, contribution records, payout schedule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PostgreSQL — requires ACID transactions, relational queries, and fast reads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JWT sessions, payout job queues, notification queues, rate-limit counters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Redis — ephemeral, high-speed key-value access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KYC documents (ID scans, selfies), dispute evidence attachments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IPFS (Pinata pinned) — immutable, content-addressed; only the IPFS CID (hash) is stored in PostgreSQL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Audit trail entries (admin actions, dissolution events, dispute outcomes)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IPFS — tamper-evident; CID stored in PostgreSQL and anchored on-chain in smart contract event logs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Smart contract state (payout queue, contribution balances, dispute votes)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BSC (on-chain) — authoritative source of truth for financial state; PostgreSQL mirrors it for fast querying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Financial transaction receipts, member statements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PostgreSQL (generated) + IPFS (archived PDF) — queryable in DB, long-term tamper-proof copy on IPFS</w:t>
            </w:r>
          </w:p>
        </w:tc>
      </w:tr>
    </w:tbl>
    <w:p>
      <w:pPr>
        <w:pBdr>
          <w:left w:val="single" w:color="0F6E56" w:sz="12" w:space="12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Consistency rule: when a smart contract event is emitted on-chain, the Backend API must update the PostgreSQL mirror within 30 seconds via event listener. Any query returning financial state must cross-check against on-chain state for amounts above XAF 100,000.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4.4 Smart Contract Architecture [NEW]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4.4.1 Contract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One MbolePay factory contract manages group creation and platform-level config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Each savings group has its own MbolePayGroup contract instance deployed by the factory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All contracts use OpenZeppelin TransparentUpgradeableProxy pattern to enable bug fixes without data loss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Admin keys use a Gnosis Safe multi-sig wallet (3-of-5 signers) for all privileged operations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4.4.2 Core Contract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createGroup()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Deploys a new MbolePayGroup proxy; records group rules on-chain; emits GroupCreated event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recordContribution(address, uint256)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Records a member contribution; updates running total; checks if payout threshold is met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schedulePayout(address)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Adds address to payout queue; emits PayoutQueued event; called by recordContribution when cycle is complete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executePayout(address, uint256)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Transfers funds to recipient via payment gateway bridge; emits PayoutExecuted event; updates queue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raiseDispute(bytes32, string)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Opens a dispute record; emits DisputeRaised event; starts voting window timer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castVote(bytes32, bool)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Anonymous vote via commit-reveal scheme; emits VoteCast event (no voter identity exposed)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resolveDispute(bytes32)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Callable after voting window closes; tallies votes; executes resolution if quorum met; emits DisputeResolved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pauseGroup()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Emergency pause; stops all contributions and payouts; requires 3-of-5 multi-sig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upgradeContract(address)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Upgrades proxy implementation; requires 3-of-5 multi-sig + 48-hour timelock; emits Upgraded event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4.4.3 Failure &amp; Recovery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All payable functions use Checks-Effects-Interactions pattern to prevent re-entrancy attacks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Failed payout executions revert cleanly; funds remain in contract escrow until resolved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Contract pause function (multi-sig gated) allows emergency halt without contract destruction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Upgrade timelock (48 hours) ensures members have visibility of any contract changes before they take effect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5. Constraints &amp; Assumptions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5.1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BSC gas fees must be budgeted into group operating costs; recommended: platform charges a 0.5% service fee per payout to cover gas costs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Mobile money integration depends on MTN MoMo and Orange Money API availability in Cameroon; fallback to Flutterwave card processing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COBAC licensing must be obtained or a licensed partner engaged before handling real-money transactions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Smart contract upgrades require a 48-hour timelock and multi-sig; emergency patches cannot be deployed in under 48 hours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5.2 Assumptions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Users have access to a smartphone with internet connectivity (2G minimum for PWA offline mode)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Tontine groups are willing to adopt digital solutions and undergo KYC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MTN MoMo is the primary payment rail for Cameroonian users (&gt;65% market share)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BSC gas fees remain below $0.50 per transaction on average; if fees exceed this threshold, migration to Polygon PoS is triggered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6. Future Enhancements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AI-based fraud detection for abnormal contribution/payout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Decentralized Identity (DID) integration for enhanced member verification without centralized KYC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Integration with local microfinance institutions for credit scoring based on tontine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Layer-2 migration to Polygon PoS if BSC costs or centralization risk exceeds acceptable thresholds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Multi-chain support enabling group members to contribute from different chains via a bridge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7. Glossary [NEW]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The following terms are used throughout this document with specific meaning: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Tontine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 rotating savings and credit association (ROSCA) where a group of individuals each contribute a fixed amount periodically. The total pool is distributed to one member per cycle, rotating until all members have received it once.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Njangi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The Cameroonian/Central African name for a tontine. Used interchangeably in this document.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Cycle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One complete round of contributions in which every active member has contributed once and the pool has been paid out to the designated recipient.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Payout Queue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The ordered list of members who will receive the pooled contribution amount, one per cycle. Order is set at group creation and is immutable unless a member exits or a dispute alters it.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Quorum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The minimum percentage of eligible voters who must participate in a dispute vote for the outcome to be binding. Set at 60% by default.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COBAC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Commission Bancaire de l’Afrique Centrale — the banking regulator for the CEMAC economic zone, which includes Cameroon.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BEAC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Banque des États de l’Afrique Centrale — the central bank of the CEMAC zone; governs monetary policy and foreign exchange.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CEMAC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Communauté Économique et Monétaire de l’Afrique Centrale — the economic and monetary community of Central Africa (Cameroon, CAR, Congo, Gabon, Chad, Equatorial Guinea).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GABAC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Groupe d’Action contre le Blanchiment d’Argent en Afrique Centrale — the CEMAC financial intelligence unit. Mbole Pay must file STRs with GABAC when required.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AML/CFT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Anti-Money Laundering / Counter-Terrorism Financing. A set of regulatory obligations to detect and report suspicious financial activity.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STR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Suspicious Transaction Report — a mandatory report filed with GABAC when a transaction meets risk criteria defined in CEMAC Directive No. 01/11.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KYC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Know Your Customer — the process of verifying the identity of users before allowing financial transactions.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BSC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Binance Smart Chain — an EVM-compatible blockchain with low transaction fees, selected as the deployment chain for Mbole Pay smart contracts.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Gas Fee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The cost paid to BSC validators to execute a smart contract transaction. Denominated in BNB.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IPFS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InterPlanetary File System — a distributed, content-addressed file storage protocol. Files are immutable once stored; the CID (content hash) acts as a permanent, tamper-evident reference.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CID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Content Identifier — the unique hash produced by IPFS for any stored file. Serves as the address and integrity proof of that file.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Multi-sig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Multi-signature wallet — a smart contract wallet requiring M-of-N key holders to approve a transaction before it executes. Used for all privileged contract operations.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Proxy Contract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An upgradeable smart contract pattern (OpenZeppelin TransparentUpgradeableProxy) where logic can be replaced without losing stored data.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Timelock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 mandatory delay (48 hours for Mbole Pay) between a contract upgrade being proposed and it taking effect, giving members visibility before changes are enacted.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WCAG 2.1 AA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Web Content Accessibility Guidelines version 2.1, Level AA — the international standard for web accessibility. Required for all Mbole Pay public-facing pages.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PWA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Progressive Web App — a web application that can be installed on a device and provides offline functionality, used here for low-connectivity resilience.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8. Appendices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Appendix A: API Reference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Full API specification to be documented in OpenAPI 3.0 format. Key endpoint categories: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POST /auth/register, POST /auth/login, POST /auth/mfa/verify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GET/POST /groups, GET /groups/:id/members, POST /groups/:id/exit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POST /contributions, GET /contributions/:groupId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GET/POST /payouts, POST /payouts/:id/retry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POST /disputes, POST /disputes/:id/vote, GET /disputes/:id/result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GET /reports/statements, GET /reports/group-dashboard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Appendix B: Smart Contract Logic Breakdown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See Section 4.4 for core contract functions. Full Solidity source published at: [GitHub repository URL]. ABI reference to be published alongside deployment.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Appendix C: Security Protocols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Security protocols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Annual external penetration testing by an accredited firm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Continuous SAST (Semgrep) and dependency scanning (Snyk) in CI/CD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Smart contract audit by a BSC-experienced security firm (e.g., CertiK, PeckShield, or Hacken) before mainnet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Incident response plan: P0 (funds at risk) response time target of 30 minutes; contract pause authority held by 3-of-5 multi-sig holders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Appendix D: Compliance Checklist [NEW]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Compliance Item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/ Owner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COBAC electronic money license or partnership with licensed EMI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Required before mainnet launch / Legal team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GABAC STR reporting integration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Required before mainnet launch / Backend team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Data residency: CEMAC-region servers configured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Required before launch / DevOps team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Law No. 2010/012 data processing register filed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Required before launch / Legal team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Smart contract third-party audit completed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Required before BSC mainnet deployment / Security team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KYC Tier verification integration live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Required before any real-money transactions / Backend team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WCAG 2.1 AA audit completed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Required before public beta / Frontend team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PCI-DSS card data handling review (with Flutterwave/Paystack)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Required before card payments enabled / Backend team</w:t>
            </w:r>
          </w:p>
        </w:tc>
      </w:tr>
    </w:tbl>
    <w:p>
      <w:r>
        <w:t xml:space="preserve"/>
      </w:r>
    </w:p>
    <w:p>
      <w:pPr>
        <w:pBdr>
          <w:top w:val="single" w:color="0F6E56" w:sz="4"/>
        </w:pBdr>
        <w:spacing w:before="480"/>
        <w:jc w:val="center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End of Document — Mbole Pay SRD v2.0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1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85F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2026-03-18T13:23:34.485Z</dcterms:created>
  <dcterms:modified xsi:type="dcterms:W3CDTF">2026-03-18T13:23:34.486Z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