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56"/>
        </w:rPr>
        <w:t>ANÁLISIS DE MERCADO</w:t>
      </w:r>
    </w:p>
    <w:p>
      <w:pPr>
        <w:jc w:val="center"/>
      </w:pPr>
      <w:r>
        <w:rPr>
          <w:i/>
          <w:color w:val="6B7280"/>
          <w:sz w:val="28"/>
        </w:rPr>
        <w:t>Autoescuelas en Concepción, Software para el Sector</w:t>
        <w:br/>
        <w:t>y Oportunidades Estratégicas en Chile</w:t>
      </w:r>
    </w:p>
    <w:p/>
    <w:p/>
    <w:p>
      <w:pPr>
        <w:jc w:val="center"/>
      </w:pPr>
      <w:r>
        <w:rPr>
          <w:color w:val="6B7280"/>
          <w:sz w:val="20"/>
        </w:rPr>
        <w:t>Fecha: 29 de May de 2026  |  Región del Biobío, Chile</w:t>
      </w:r>
    </w:p>
    <w:p>
      <w:r>
        <w:br w:type="page"/>
      </w:r>
    </w:p>
    <w:p>
      <w:pPr>
        <w:pStyle w:val="Heading1"/>
        <w:jc w:val="left"/>
      </w:pPr>
      <w:r>
        <w:rPr>
          <w:b/>
          <w:color w:val="1A56DB"/>
        </w:rPr>
        <w:t>Resumen Ejecutivo</w:t>
      </w:r>
    </w:p>
    <w:p>
      <w:pPr>
        <w:pBdr>
          <w:bottom w:val="single" w:sz="4" w:space="1" w:color="1A56DB"/>
        </w:pBdr>
        <w:spacing w:after="120" w:before="120"/>
      </w:pPr>
    </w:p>
    <w:p>
      <w:pPr>
        <w:spacing w:after="160" w:before="40"/>
      </w:pPr>
      <w:r>
        <w:rPr>
          <w:b w:val="0"/>
          <w:i w:val="0"/>
          <w:color w:val="111827"/>
          <w:sz w:val="20"/>
        </w:rPr>
        <w:t>El mercado de escuelas de conductores en Chile atraviesa un momento de expansión sin precedentes: en 2023 se tramitaron casi 2 millones de licencias (+55,7 % interanual), y la demanda de nuevos conductores sigue creciendo. Sin embargo, la industria opera mayoritariamente con gestión manual (planillas, WhatsApp y agendas en papel). Existe al menos un competidor chileno SaaS (AutoSchool.cl), pero el mercado regional está en etapa muy temprana y sin adopción masiva verificada fuera de Santiago.</w:t>
      </w:r>
    </w:p>
    <w:p>
      <w:pPr>
        <w:spacing w:after="160" w:before="40"/>
      </w:pPr>
      <w:r>
        <w:rPr>
          <w:b w:val="0"/>
          <w:i w:val="0"/>
          <w:color w:val="111827"/>
          <w:sz w:val="20"/>
        </w:rPr>
        <w:t>En Concepción, 12 escuelas certificadas compiten por un mercado con precios verificados de $153.000 a $220.000 CLP por curso. Dos actores lideran con claridad (Casyc y Conducap), mientras el resto opera con baja digitalización y altas tasas de quejas por gestión administrativa deficiente.</w:t>
      </w:r>
    </w:p>
    <w:p>
      <w:pPr>
        <w:spacing w:after="160" w:before="40"/>
      </w:pPr>
      <w:r>
        <w:rPr>
          <w:b w:val="0"/>
          <w:i w:val="0"/>
          <w:color w:val="111827"/>
          <w:sz w:val="20"/>
        </w:rPr>
        <w:t>El mercado global de software para autoescuelas vale USD 1,2–5,1 billones (2025) y crece al 9 % anual. LATAM es la región de mayor crecimiento potencial, sin actores locales dominantes. La oportunidad de construir o escalar un SaaS vertical para escuelas de conductores en regiones es real: AutoSchool.cl existe pero no tiene penetración verificada fuera de Santiago.</w:t>
      </w:r>
    </w:p>
    <w:p/>
    <w:p>
      <w:pPr>
        <w:spacing w:after="120" w:before="40"/>
      </w:pPr>
      <w:r>
        <w:rPr>
          <w:b/>
          <w:i w:val="0"/>
          <w:color w:val="111827"/>
          <w:sz w:val="20"/>
        </w:rPr>
        <w:t>Cifras clave del mercado</w:t>
      </w:r>
    </w:p>
    <w:tbl>
      <w:tblPr>
        <w:tblStyle w:val="TableGrid"/>
        <w:tblW w:type="auto" w:w="0"/>
        <w:tblLook w:firstColumn="1" w:firstRow="1" w:lastColumn="0" w:lastRow="0" w:noHBand="0" w:noVBand="1" w:val="04A0"/>
      </w:tblPr>
      <w:tblGrid>
        <w:gridCol w:w="4703"/>
        <w:gridCol w:w="4703"/>
      </w:tblGrid>
      <w:tr>
        <w:tc>
          <w:tcPr>
            <w:tcW w:type="dxa" w:w="4703"/>
            <w:shd w:fill="1A56DB" w:val="clear"/>
          </w:tcPr>
          <w:p>
            <w:pPr>
              <w:jc w:val="center"/>
            </w:pPr>
            <w:r/>
            <w:r>
              <w:rPr>
                <w:b/>
                <w:color w:val="FFFFFF"/>
                <w:sz w:val="18"/>
              </w:rPr>
              <w:t>Indicador</w:t>
            </w:r>
          </w:p>
        </w:tc>
        <w:tc>
          <w:tcPr>
            <w:tcW w:type="dxa" w:w="4703"/>
            <w:shd w:fill="1A56DB" w:val="clear"/>
          </w:tcPr>
          <w:p>
            <w:pPr>
              <w:jc w:val="center"/>
            </w:pPr>
            <w:r/>
            <w:r>
              <w:rPr>
                <w:b/>
                <w:color w:val="FFFFFF"/>
                <w:sz w:val="18"/>
              </w:rPr>
              <w:t>Valor</w:t>
            </w:r>
          </w:p>
        </w:tc>
      </w:tr>
      <w:tr>
        <w:tc>
          <w:tcPr>
            <w:tcW w:type="dxa" w:w="4703"/>
            <w:shd w:fill="F9FAFB" w:val="clear"/>
          </w:tcPr>
          <w:p>
            <w:r/>
            <w:r>
              <w:rPr>
                <w:sz w:val="18"/>
              </w:rPr>
              <w:t>Licencias tramitadas en Chile (2023)</w:t>
            </w:r>
          </w:p>
        </w:tc>
        <w:tc>
          <w:tcPr>
            <w:tcW w:type="dxa" w:w="4703"/>
            <w:shd w:fill="F9FAFB" w:val="clear"/>
          </w:tcPr>
          <w:p>
            <w:r/>
            <w:r>
              <w:rPr>
                <w:sz w:val="18"/>
              </w:rPr>
              <w:t>1.978.047  (+55,7 %)</w:t>
            </w:r>
          </w:p>
        </w:tc>
      </w:tr>
      <w:tr>
        <w:tc>
          <w:tcPr>
            <w:tcW w:type="dxa" w:w="4703"/>
          </w:tcPr>
          <w:p>
            <w:r/>
            <w:r>
              <w:rPr>
                <w:sz w:val="18"/>
              </w:rPr>
              <w:t>Nuevos conductores (solo licencias nuevas)</w:t>
            </w:r>
          </w:p>
        </w:tc>
        <w:tc>
          <w:tcPr>
            <w:tcW w:type="dxa" w:w="4703"/>
          </w:tcPr>
          <w:p>
            <w:r/>
            <w:r>
              <w:rPr>
                <w:sz w:val="18"/>
              </w:rPr>
              <w:t>~328.755 personas/año</w:t>
            </w:r>
          </w:p>
        </w:tc>
      </w:tr>
      <w:tr>
        <w:tc>
          <w:tcPr>
            <w:tcW w:type="dxa" w:w="4703"/>
            <w:shd w:fill="F9FAFB" w:val="clear"/>
          </w:tcPr>
          <w:p>
            <w:r/>
            <w:r>
              <w:rPr>
                <w:sz w:val="18"/>
              </w:rPr>
              <w:t>Precio curso Clase B (Concepción, rango verificado)</w:t>
            </w:r>
          </w:p>
        </w:tc>
        <w:tc>
          <w:tcPr>
            <w:tcW w:type="dxa" w:w="4703"/>
            <w:shd w:fill="F9FAFB" w:val="clear"/>
          </w:tcPr>
          <w:p>
            <w:r/>
            <w:r>
              <w:rPr>
                <w:sz w:val="18"/>
              </w:rPr>
              <w:t>$153.000 – $220.000 CLP</w:t>
            </w:r>
          </w:p>
        </w:tc>
      </w:tr>
      <w:tr>
        <w:tc>
          <w:tcPr>
            <w:tcW w:type="dxa" w:w="4703"/>
          </w:tcPr>
          <w:p>
            <w:r/>
            <w:r>
              <w:rPr>
                <w:sz w:val="18"/>
              </w:rPr>
              <w:t>Escuelas certificadas en Concepción</w:t>
            </w:r>
          </w:p>
        </w:tc>
        <w:tc>
          <w:tcPr>
            <w:tcW w:type="dxa" w:w="4703"/>
          </w:tcPr>
          <w:p>
            <w:r/>
            <w:r>
              <w:rPr>
                <w:sz w:val="18"/>
              </w:rPr>
              <w:t>~12 activas</w:t>
            </w:r>
          </w:p>
        </w:tc>
      </w:tr>
      <w:tr>
        <w:tc>
          <w:tcPr>
            <w:tcW w:type="dxa" w:w="4703"/>
            <w:shd w:fill="F9FAFB" w:val="clear"/>
          </w:tcPr>
          <w:p>
            <w:r/>
            <w:r>
              <w:rPr>
                <w:sz w:val="18"/>
              </w:rPr>
              <w:t>Mercado global software autoescuelas (2025)</w:t>
            </w:r>
          </w:p>
        </w:tc>
        <w:tc>
          <w:tcPr>
            <w:tcW w:type="dxa" w:w="4703"/>
            <w:shd w:fill="F9FAFB" w:val="clear"/>
          </w:tcPr>
          <w:p>
            <w:r/>
            <w:r>
              <w:rPr>
                <w:sz w:val="18"/>
              </w:rPr>
              <w:t>USD 1,2–5,1 billones / CAGR 9 %</w:t>
            </w:r>
          </w:p>
        </w:tc>
      </w:tr>
    </w:tbl>
    <w:p/>
    <w:p>
      <w:r>
        <w:br w:type="page"/>
      </w:r>
    </w:p>
    <w:p>
      <w:pPr>
        <w:pStyle w:val="Heading1"/>
        <w:jc w:val="left"/>
      </w:pPr>
      <w:r>
        <w:rPr>
          <w:b/>
          <w:color w:val="1A56DB"/>
        </w:rPr>
        <w:t>1. Panorama — Autoescuelas en Concepción</w:t>
      </w:r>
    </w:p>
    <w:p>
      <w:pPr>
        <w:pBdr>
          <w:bottom w:val="single" w:sz="4" w:space="1" w:color="1A56DB"/>
        </w:pBdr>
        <w:spacing w:after="120" w:before="120"/>
      </w:pPr>
    </w:p>
    <w:p>
      <w:pPr>
        <w:spacing w:after="120" w:before="40"/>
      </w:pPr>
      <w:r>
        <w:rPr>
          <w:b w:val="0"/>
          <w:i w:val="0"/>
          <w:color w:val="111827"/>
          <w:sz w:val="20"/>
        </w:rPr>
        <w:t>La ciudad de Concepción y su área metropolitana (San Pedro de la Paz, Chiguayante, Talcahuano) concentran aproximadamente 12 escuelas de conductores certificadas por la SEREMI de Transportes del Biobío. El sector está claramente segmentado en tres niveles competitivos:</w:t>
      </w:r>
    </w:p>
    <w:p>
      <w:pPr>
        <w:spacing w:after="120" w:before="40"/>
      </w:pPr>
      <w:r>
        <w:rPr>
          <w:b/>
          <w:i w:val="0"/>
          <w:color w:val="111827"/>
          <w:sz w:val="20"/>
        </w:rPr>
        <w:t>1.1 Mapa de actores principales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A56DB" w:val="clear"/>
          </w:tcPr>
          <w:p>
            <w:pPr>
              <w:jc w:val="center"/>
            </w:pPr>
            <w:r/>
            <w:r>
              <w:rPr>
                <w:b/>
                <w:color w:val="FFFFFF"/>
                <w:sz w:val="18"/>
              </w:rPr>
              <w:t>Escuela</w:t>
            </w:r>
          </w:p>
        </w:tc>
        <w:tc>
          <w:tcPr>
            <w:tcW w:type="dxa" w:w="1568"/>
            <w:shd w:fill="1A56DB" w:val="clear"/>
          </w:tcPr>
          <w:p>
            <w:pPr>
              <w:jc w:val="center"/>
            </w:pPr>
            <w:r/>
            <w:r>
              <w:rPr>
                <w:b/>
                <w:color w:val="FFFFFF"/>
                <w:sz w:val="18"/>
              </w:rPr>
              <w:t>Rating</w:t>
            </w:r>
          </w:p>
        </w:tc>
        <w:tc>
          <w:tcPr>
            <w:tcW w:type="dxa" w:w="1568"/>
            <w:shd w:fill="1A56DB" w:val="clear"/>
          </w:tcPr>
          <w:p>
            <w:pPr>
              <w:jc w:val="center"/>
            </w:pPr>
            <w:r/>
            <w:r>
              <w:rPr>
                <w:b/>
                <w:color w:val="FFFFFF"/>
                <w:sz w:val="18"/>
              </w:rPr>
              <w:t>Reseñas</w:t>
            </w:r>
          </w:p>
        </w:tc>
        <w:tc>
          <w:tcPr>
            <w:tcW w:type="dxa" w:w="1568"/>
            <w:shd w:fill="1A56DB" w:val="clear"/>
          </w:tcPr>
          <w:p>
            <w:pPr>
              <w:jc w:val="center"/>
            </w:pPr>
            <w:r/>
            <w:r>
              <w:rPr>
                <w:b/>
                <w:color w:val="FFFFFF"/>
                <w:sz w:val="18"/>
              </w:rPr>
              <w:t>Precio aprox.</w:t>
            </w:r>
          </w:p>
        </w:tc>
        <w:tc>
          <w:tcPr>
            <w:tcW w:type="dxa" w:w="1568"/>
            <w:shd w:fill="1A56DB" w:val="clear"/>
          </w:tcPr>
          <w:p>
            <w:pPr>
              <w:jc w:val="center"/>
            </w:pPr>
            <w:r/>
            <w:r>
              <w:rPr>
                <w:b/>
                <w:color w:val="FFFFFF"/>
                <w:sz w:val="18"/>
              </w:rPr>
              <w:t>Diferenciador clave</w:t>
            </w:r>
          </w:p>
        </w:tc>
        <w:tc>
          <w:tcPr>
            <w:tcW w:type="dxa" w:w="1568"/>
            <w:shd w:fill="1A56DB" w:val="clear"/>
          </w:tcPr>
          <w:p>
            <w:pPr>
              <w:jc w:val="center"/>
            </w:pPr>
            <w:r/>
            <w:r>
              <w:rPr>
                <w:b/>
                <w:color w:val="FFFFFF"/>
                <w:sz w:val="18"/>
              </w:rPr>
              <w:t>Tecnología</w:t>
            </w:r>
          </w:p>
        </w:tc>
      </w:tr>
      <w:tr>
        <w:tc>
          <w:tcPr>
            <w:tcW w:type="dxa" w:w="1568"/>
            <w:shd w:fill="F0F9FF" w:val="clear"/>
          </w:tcPr>
          <w:p>
            <w:r/>
            <w:r>
              <w:rPr>
                <w:sz w:val="17"/>
              </w:rPr>
              <w:t>Casyc</w:t>
            </w:r>
          </w:p>
        </w:tc>
        <w:tc>
          <w:tcPr>
            <w:tcW w:type="dxa" w:w="1568"/>
            <w:shd w:fill="F0F9FF" w:val="clear"/>
          </w:tcPr>
          <w:p>
            <w:r/>
            <w:r>
              <w:rPr>
                <w:sz w:val="17"/>
              </w:rPr>
              <w:t>⭐ 4,9</w:t>
            </w:r>
          </w:p>
        </w:tc>
        <w:tc>
          <w:tcPr>
            <w:tcW w:type="dxa" w:w="1568"/>
            <w:shd w:fill="F0F9FF" w:val="clear"/>
          </w:tcPr>
          <w:p>
            <w:r/>
            <w:r>
              <w:rPr>
                <w:sz w:val="17"/>
              </w:rPr>
              <w:t>~400 *</w:t>
            </w:r>
          </w:p>
        </w:tc>
        <w:tc>
          <w:tcPr>
            <w:tcW w:type="dxa" w:w="1568"/>
            <w:shd w:fill="F0F9FF" w:val="clear"/>
          </w:tcPr>
          <w:p>
            <w:r/>
            <w:r>
              <w:rPr>
                <w:sz w:val="17"/>
              </w:rPr>
              <w:t>$190.000–$195.000</w:t>
            </w:r>
          </w:p>
        </w:tc>
        <w:tc>
          <w:tcPr>
            <w:tcW w:type="dxa" w:w="1568"/>
            <w:shd w:fill="F0F9FF" w:val="clear"/>
          </w:tcPr>
          <w:p>
            <w:r/>
            <w:r>
              <w:rPr>
                <w:sz w:val="17"/>
              </w:rPr>
              <w:t>Plataforma online propia (4.000+ preguntas). SEDE: Hualpén + S.Pedro</w:t>
            </w:r>
          </w:p>
        </w:tc>
        <w:tc>
          <w:tcPr>
            <w:tcW w:type="dxa" w:w="1568"/>
            <w:shd w:fill="F0F9FF" w:val="clear"/>
          </w:tcPr>
          <w:p>
            <w:r/>
            <w:r>
              <w:rPr>
                <w:sz w:val="17"/>
              </w:rPr>
              <w:t>Alta</w:t>
            </w:r>
          </w:p>
        </w:tc>
      </w:tr>
      <w:tr>
        <w:tc>
          <w:tcPr>
            <w:tcW w:type="dxa" w:w="1568"/>
          </w:tcPr>
          <w:p>
            <w:r/>
            <w:r>
              <w:rPr>
                <w:sz w:val="17"/>
              </w:rPr>
              <w:t>Conducap</w:t>
            </w:r>
          </w:p>
        </w:tc>
        <w:tc>
          <w:tcPr>
            <w:tcW w:type="dxa" w:w="1568"/>
          </w:tcPr>
          <w:p>
            <w:r/>
            <w:r>
              <w:rPr>
                <w:sz w:val="17"/>
              </w:rPr>
              <w:t>⭐ 4,8</w:t>
            </w:r>
          </w:p>
        </w:tc>
        <w:tc>
          <w:tcPr>
            <w:tcW w:type="dxa" w:w="1568"/>
          </w:tcPr>
          <w:p>
            <w:r/>
            <w:r>
              <w:rPr>
                <w:sz w:val="17"/>
              </w:rPr>
              <w:t>~334 *</w:t>
            </w:r>
          </w:p>
        </w:tc>
        <w:tc>
          <w:tcPr>
            <w:tcW w:type="dxa" w:w="1568"/>
          </w:tcPr>
          <w:p>
            <w:r/>
            <w:r>
              <w:rPr>
                <w:sz w:val="17"/>
              </w:rPr>
              <w:t>$210.000–$220.000</w:t>
            </w:r>
          </w:p>
        </w:tc>
        <w:tc>
          <w:tcPr>
            <w:tcW w:type="dxa" w:w="1568"/>
          </w:tcPr>
          <w:p>
            <w:r/>
            <w:r>
              <w:rPr>
                <w:sz w:val="17"/>
              </w:rPr>
              <w:t>Angol 219, Concepción. 11 años. Simuladores. Clase A y D</w:t>
            </w:r>
          </w:p>
        </w:tc>
        <w:tc>
          <w:tcPr>
            <w:tcW w:type="dxa" w:w="1568"/>
          </w:tcPr>
          <w:p>
            <w:r/>
            <w:r>
              <w:rPr>
                <w:sz w:val="17"/>
              </w:rPr>
              <w:t>Alta</w:t>
            </w:r>
          </w:p>
        </w:tc>
      </w:tr>
      <w:tr>
        <w:tc>
          <w:tcPr>
            <w:tcW w:type="dxa" w:w="1568"/>
            <w:shd w:fill="F0F9FF" w:val="clear"/>
          </w:tcPr>
          <w:p>
            <w:r/>
            <w:r>
              <w:rPr>
                <w:sz w:val="17"/>
              </w:rPr>
              <w:t>Gizeh Ltda.</w:t>
            </w:r>
          </w:p>
        </w:tc>
        <w:tc>
          <w:tcPr>
            <w:tcW w:type="dxa" w:w="1568"/>
            <w:shd w:fill="F0F9FF" w:val="clear"/>
          </w:tcPr>
          <w:p>
            <w:r/>
            <w:r>
              <w:rPr>
                <w:sz w:val="17"/>
              </w:rPr>
              <w:t>⭐ 5,0</w:t>
            </w:r>
          </w:p>
        </w:tc>
        <w:tc>
          <w:tcPr>
            <w:tcW w:type="dxa" w:w="1568"/>
            <w:shd w:fill="F0F9FF" w:val="clear"/>
          </w:tcPr>
          <w:p>
            <w:r/>
            <w:r>
              <w:rPr>
                <w:sz w:val="17"/>
              </w:rPr>
              <w:t>Pocos</w:t>
            </w:r>
          </w:p>
        </w:tc>
        <w:tc>
          <w:tcPr>
            <w:tcW w:type="dxa" w:w="1568"/>
            <w:shd w:fill="F0F9FF" w:val="clear"/>
          </w:tcPr>
          <w:p>
            <w:r/>
            <w:r>
              <w:rPr>
                <w:sz w:val="17"/>
              </w:rPr>
              <w:t>N/D</w:t>
            </w:r>
          </w:p>
        </w:tc>
        <w:tc>
          <w:tcPr>
            <w:tcW w:type="dxa" w:w="1568"/>
            <w:shd w:fill="F0F9FF" w:val="clear"/>
          </w:tcPr>
          <w:p>
            <w:r/>
            <w:r>
              <w:rPr>
                <w:sz w:val="17"/>
              </w:rPr>
              <w:t>Rating perfecto (volumen bajo)</w:t>
            </w:r>
          </w:p>
        </w:tc>
        <w:tc>
          <w:tcPr>
            <w:tcW w:type="dxa" w:w="1568"/>
            <w:shd w:fill="F0F9FF" w:val="clear"/>
          </w:tcPr>
          <w:p>
            <w:r/>
            <w:r>
              <w:rPr>
                <w:sz w:val="17"/>
              </w:rPr>
              <w:t>Baja</w:t>
            </w:r>
          </w:p>
        </w:tc>
      </w:tr>
      <w:tr>
        <w:tc>
          <w:tcPr>
            <w:tcW w:type="dxa" w:w="1568"/>
          </w:tcPr>
          <w:p>
            <w:r/>
            <w:r>
              <w:rPr>
                <w:sz w:val="17"/>
              </w:rPr>
              <w:t>SERCAP</w:t>
            </w:r>
          </w:p>
        </w:tc>
        <w:tc>
          <w:tcPr>
            <w:tcW w:type="dxa" w:w="1568"/>
          </w:tcPr>
          <w:p>
            <w:r/>
            <w:r>
              <w:rPr>
                <w:sz w:val="17"/>
              </w:rPr>
              <w:t>⭐ 4,4</w:t>
            </w:r>
          </w:p>
        </w:tc>
        <w:tc>
          <w:tcPr>
            <w:tcW w:type="dxa" w:w="1568"/>
          </w:tcPr>
          <w:p>
            <w:r/>
            <w:r>
              <w:rPr>
                <w:sz w:val="17"/>
              </w:rPr>
              <w:t>~64</w:t>
            </w:r>
          </w:p>
        </w:tc>
        <w:tc>
          <w:tcPr>
            <w:tcW w:type="dxa" w:w="1568"/>
          </w:tcPr>
          <w:p>
            <w:r/>
            <w:r>
              <w:rPr>
                <w:sz w:val="17"/>
              </w:rPr>
              <w:t>N/D (consultar)</w:t>
            </w:r>
          </w:p>
        </w:tc>
        <w:tc>
          <w:tcPr>
            <w:tcW w:type="dxa" w:w="1568"/>
          </w:tcPr>
          <w:p>
            <w:r/>
            <w:r>
              <w:rPr>
                <w:sz w:val="17"/>
              </w:rPr>
              <w:t>Maipú 1225. Simuladores A3/A5. Plataforma Moodle. OTEC</w:t>
            </w:r>
          </w:p>
        </w:tc>
        <w:tc>
          <w:tcPr>
            <w:tcW w:type="dxa" w:w="1568"/>
          </w:tcPr>
          <w:p>
            <w:r/>
            <w:r>
              <w:rPr>
                <w:sz w:val="17"/>
              </w:rPr>
              <w:t>Media</w:t>
            </w:r>
          </w:p>
        </w:tc>
      </w:tr>
      <w:tr>
        <w:tc>
          <w:tcPr>
            <w:tcW w:type="dxa" w:w="1568"/>
            <w:shd w:fill="F0F9FF" w:val="clear"/>
          </w:tcPr>
          <w:p>
            <w:r/>
            <w:r>
              <w:rPr>
                <w:sz w:val="17"/>
              </w:rPr>
              <w:t>ICP (Orompello 730)</w:t>
            </w:r>
          </w:p>
        </w:tc>
        <w:tc>
          <w:tcPr>
            <w:tcW w:type="dxa" w:w="1568"/>
            <w:shd w:fill="F0F9FF" w:val="clear"/>
          </w:tcPr>
          <w:p>
            <w:r/>
            <w:r>
              <w:rPr>
                <w:sz w:val="17"/>
              </w:rPr>
              <w:t>⭐ 3,8</w:t>
            </w:r>
          </w:p>
        </w:tc>
        <w:tc>
          <w:tcPr>
            <w:tcW w:type="dxa" w:w="1568"/>
            <w:shd w:fill="F0F9FF" w:val="clear"/>
          </w:tcPr>
          <w:p>
            <w:r/>
            <w:r>
              <w:rPr>
                <w:sz w:val="17"/>
              </w:rPr>
              <w:t>~68</w:t>
            </w:r>
          </w:p>
        </w:tc>
        <w:tc>
          <w:tcPr>
            <w:tcW w:type="dxa" w:w="1568"/>
            <w:shd w:fill="F0F9FF" w:val="clear"/>
          </w:tcPr>
          <w:p>
            <w:r/>
            <w:r>
              <w:rPr>
                <w:sz w:val="17"/>
              </w:rPr>
              <w:t>N/D</w:t>
            </w:r>
          </w:p>
        </w:tc>
        <w:tc>
          <w:tcPr>
            <w:tcW w:type="dxa" w:w="1568"/>
            <w:shd w:fill="F0F9FF" w:val="clear"/>
          </w:tcPr>
          <w:p>
            <w:r/>
            <w:r>
              <w:rPr>
                <w:sz w:val="17"/>
              </w:rPr>
              <w:t>Instalaciones modernas, Clase A</w:t>
            </w:r>
          </w:p>
        </w:tc>
        <w:tc>
          <w:tcPr>
            <w:tcW w:type="dxa" w:w="1568"/>
            <w:shd w:fill="F0F9FF" w:val="clear"/>
          </w:tcPr>
          <w:p>
            <w:r/>
            <w:r>
              <w:rPr>
                <w:sz w:val="17"/>
              </w:rPr>
              <w:t>Media</w:t>
            </w:r>
          </w:p>
        </w:tc>
      </w:tr>
      <w:tr>
        <w:tc>
          <w:tcPr>
            <w:tcW w:type="dxa" w:w="1568"/>
          </w:tcPr>
          <w:p>
            <w:r/>
            <w:r>
              <w:rPr>
                <w:sz w:val="17"/>
              </w:rPr>
              <w:t>R-Group</w:t>
            </w:r>
          </w:p>
        </w:tc>
        <w:tc>
          <w:tcPr>
            <w:tcW w:type="dxa" w:w="1568"/>
          </w:tcPr>
          <w:p>
            <w:r/>
            <w:r>
              <w:rPr>
                <w:sz w:val="17"/>
              </w:rPr>
              <w:t>N/D</w:t>
            </w:r>
          </w:p>
        </w:tc>
        <w:tc>
          <w:tcPr>
            <w:tcW w:type="dxa" w:w="1568"/>
          </w:tcPr>
          <w:p>
            <w:r/>
            <w:r>
              <w:rPr>
                <w:sz w:val="17"/>
              </w:rPr>
              <w:t>N/D</w:t>
            </w:r>
          </w:p>
        </w:tc>
        <w:tc>
          <w:tcPr>
            <w:tcW w:type="dxa" w:w="1568"/>
          </w:tcPr>
          <w:p>
            <w:r/>
            <w:r>
              <w:rPr>
                <w:sz w:val="17"/>
              </w:rPr>
              <w:t>$153.000–$170.000</w:t>
            </w:r>
          </w:p>
        </w:tc>
        <w:tc>
          <w:tcPr>
            <w:tcW w:type="dxa" w:w="1568"/>
          </w:tcPr>
          <w:p>
            <w:r/>
            <w:r>
              <w:rPr>
                <w:sz w:val="17"/>
              </w:rPr>
              <w:t>Fund. 2006. 3 sedes (Barros Arana 1093, Castellón 682, Penco). Clase A2/A3/A4</w:t>
            </w:r>
          </w:p>
        </w:tc>
        <w:tc>
          <w:tcPr>
            <w:tcW w:type="dxa" w:w="1568"/>
          </w:tcPr>
          <w:p>
            <w:r/>
            <w:r>
              <w:rPr>
                <w:sz w:val="17"/>
              </w:rPr>
              <w:t>Baja</w:t>
            </w:r>
          </w:p>
        </w:tc>
      </w:tr>
      <w:tr>
        <w:tc>
          <w:tcPr>
            <w:tcW w:type="dxa" w:w="1568"/>
            <w:shd w:fill="F0F9FF" w:val="clear"/>
          </w:tcPr>
          <w:p>
            <w:r/>
            <w:r>
              <w:rPr>
                <w:sz w:val="17"/>
              </w:rPr>
              <w:t>Nova Chile (San Pedro)</w:t>
            </w:r>
          </w:p>
        </w:tc>
        <w:tc>
          <w:tcPr>
            <w:tcW w:type="dxa" w:w="1568"/>
            <w:shd w:fill="F0F9FF" w:val="clear"/>
          </w:tcPr>
          <w:p>
            <w:r/>
            <w:r>
              <w:rPr>
                <w:sz w:val="17"/>
              </w:rPr>
              <w:t>⭐ 3,4</w:t>
            </w:r>
          </w:p>
        </w:tc>
        <w:tc>
          <w:tcPr>
            <w:tcW w:type="dxa" w:w="1568"/>
            <w:shd w:fill="F0F9FF" w:val="clear"/>
          </w:tcPr>
          <w:p>
            <w:r/>
            <w:r>
              <w:rPr>
                <w:sz w:val="17"/>
              </w:rPr>
              <w:t>~40</w:t>
            </w:r>
          </w:p>
        </w:tc>
        <w:tc>
          <w:tcPr>
            <w:tcW w:type="dxa" w:w="1568"/>
            <w:shd w:fill="F0F9FF" w:val="clear"/>
          </w:tcPr>
          <w:p>
            <w:r/>
            <w:r>
              <w:rPr>
                <w:sz w:val="17"/>
              </w:rPr>
              <w:t>N/D</w:t>
            </w:r>
          </w:p>
        </w:tc>
        <w:tc>
          <w:tcPr>
            <w:tcW w:type="dxa" w:w="1568"/>
            <w:shd w:fill="F0F9FF" w:val="clear"/>
          </w:tcPr>
          <w:p>
            <w:r/>
            <w:r>
              <w:rPr>
                <w:sz w:val="17"/>
              </w:rPr>
              <w:t>Los Canelos 34, San Pedro de la Paz</w:t>
            </w:r>
          </w:p>
        </w:tc>
        <w:tc>
          <w:tcPr>
            <w:tcW w:type="dxa" w:w="1568"/>
            <w:shd w:fill="F0F9FF" w:val="clear"/>
          </w:tcPr>
          <w:p>
            <w:r/>
            <w:r>
              <w:rPr>
                <w:sz w:val="17"/>
              </w:rPr>
              <w:t>Baja</w:t>
            </w:r>
          </w:p>
        </w:tc>
      </w:tr>
      <w:tr>
        <w:tc>
          <w:tcPr>
            <w:tcW w:type="dxa" w:w="1568"/>
          </w:tcPr>
          <w:p>
            <w:r/>
            <w:r>
              <w:rPr>
                <w:sz w:val="17"/>
              </w:rPr>
              <w:t>Agadez</w:t>
            </w:r>
          </w:p>
        </w:tc>
        <w:tc>
          <w:tcPr>
            <w:tcW w:type="dxa" w:w="1568"/>
          </w:tcPr>
          <w:p>
            <w:r/>
            <w:r>
              <w:rPr>
                <w:sz w:val="17"/>
              </w:rPr>
              <w:t>N/D</w:t>
            </w:r>
          </w:p>
        </w:tc>
        <w:tc>
          <w:tcPr>
            <w:tcW w:type="dxa" w:w="1568"/>
          </w:tcPr>
          <w:p>
            <w:r/>
            <w:r>
              <w:rPr>
                <w:sz w:val="17"/>
              </w:rPr>
              <w:t>N/D</w:t>
            </w:r>
          </w:p>
        </w:tc>
        <w:tc>
          <w:tcPr>
            <w:tcW w:type="dxa" w:w="1568"/>
          </w:tcPr>
          <w:p>
            <w:r/>
            <w:r>
              <w:rPr>
                <w:sz w:val="17"/>
              </w:rPr>
              <w:t>N/D</w:t>
            </w:r>
          </w:p>
        </w:tc>
        <w:tc>
          <w:tcPr>
            <w:tcW w:type="dxa" w:w="1568"/>
          </w:tcPr>
          <w:p>
            <w:r/>
            <w:r>
              <w:rPr>
                <w:sz w:val="17"/>
              </w:rPr>
              <w:t>Menor presencia online verificada</w:t>
            </w:r>
          </w:p>
        </w:tc>
        <w:tc>
          <w:tcPr>
            <w:tcW w:type="dxa" w:w="1568"/>
          </w:tcPr>
          <w:p>
            <w:r/>
            <w:r>
              <w:rPr>
                <w:sz w:val="17"/>
              </w:rPr>
              <w:t>Baja</w:t>
            </w:r>
          </w:p>
        </w:tc>
      </w:tr>
    </w:tbl>
    <w:p/>
    <w:p>
      <w:pPr>
        <w:spacing w:after="160" w:before="40"/>
      </w:pPr>
      <w:r>
        <w:rPr>
          <w:b w:val="0"/>
          <w:i w:val="0"/>
          <w:color w:val="6B7280"/>
          <w:sz w:val="20"/>
        </w:rPr>
        <w:t>Nota de precisión geográfica: Casyc no opera en la ciudad de Concepción sino en la comuna de Hualpén (Av. Cristóbal Colón 8402) y en San Pedro de la Paz, ambas parte de la conurbación Gran Concepción. Las reseñas provienen de directorios de terceros (datos aproximados a fecha de consulta). SERCAP es el actor más innovador tecnológicamente (simuladores + Moodle + OTEC), pero con bajo volumen de alumnos, lo que sugiere problemas de conversión o alcance comercial.</w:t>
      </w:r>
    </w:p>
    <w:p>
      <w:pPr>
        <w:pStyle w:val="Heading2"/>
        <w:jc w:val="left"/>
      </w:pPr>
      <w:r>
        <w:rPr>
          <w:b/>
          <w:color w:val="1A56DB"/>
        </w:rPr>
        <w:t>1.2 Estructura de precios del mercado</w:t>
      </w:r>
    </w:p>
    <w:p>
      <w:pPr>
        <w:spacing w:after="80" w:before="40"/>
      </w:pPr>
      <w:r>
        <w:rPr>
          <w:b w:val="0"/>
          <w:i w:val="0"/>
          <w:color w:val="111827"/>
          <w:sz w:val="20"/>
        </w:rPr>
        <w:t>Los precios verificados directamente desde los sitios web de las escuelas de Concepción muestran un rango de $153.000 a $220.000 CLP, coherente con el mercado nacional ($120.000–$250.000). El precio más bajo verificado es R-Group ($153.000 en promoción / $170.000 normal) y el más alto es Conducap Express ($220.000). Casyc se posiciona en $190.000–$195.000. El curso incluye:</w:t>
      </w:r>
    </w:p>
    <w:p>
      <w:pPr>
        <w:pStyle w:val="ListBullet"/>
        <w:spacing w:after="60"/>
      </w:pPr>
      <w:r>
        <w:rPr>
          <w:color w:val="111827"/>
          <w:sz w:val="20"/>
        </w:rPr>
        <w:t>Clases teóricas (formato y duración variable según modalidad presencial u online)</w:t>
      </w:r>
    </w:p>
    <w:p>
      <w:pPr>
        <w:pStyle w:val="ListBullet"/>
        <w:spacing w:after="60"/>
      </w:pPr>
      <w:r>
        <w:rPr>
          <w:color w:val="111827"/>
          <w:sz w:val="20"/>
        </w:rPr>
        <w:t>12 clases prácticas de 45 minutos — estándar de mercado verificado (Casyc, Automóvil Club)</w:t>
      </w:r>
    </w:p>
    <w:p>
      <w:pPr>
        <w:pStyle w:val="ListBullet"/>
        <w:spacing w:after="60"/>
      </w:pPr>
      <w:r>
        <w:rPr>
          <w:color w:val="111827"/>
          <w:sz w:val="20"/>
        </w:rPr>
        <w:t>Sesión psicotécnica (incluida en la mayoría de los cursos)</w:t>
      </w:r>
    </w:p>
    <w:p>
      <w:pPr>
        <w:pStyle w:val="ListBullet"/>
        <w:spacing w:after="60"/>
      </w:pPr>
      <w:r>
        <w:rPr>
          <w:color w:val="111827"/>
          <w:sz w:val="20"/>
        </w:rPr>
        <w:t>Preparación para examen CONASET — plataforma Nexteo desde 2024</w:t>
      </w:r>
    </w:p>
    <w:p>
      <w:pPr>
        <w:pStyle w:val="ListBullet"/>
        <w:spacing w:after="60"/>
      </w:pPr>
      <w:r>
        <w:rPr>
          <w:color w:val="111827"/>
          <w:sz w:val="20"/>
        </w:rPr>
        <w:t>Opcionalmente: acceso a plataforma digital de tests (solo escuelas líderes: Casyc, SERCAP)</w:t>
      </w:r>
    </w:p>
    <w:p/>
    <w:tbl>
      <w:tblPr>
        <w:tblStyle w:val="TableGrid"/>
        <w:tblW w:type="auto" w:w="0"/>
        <w:tblLook w:firstColumn="1" w:firstRow="1" w:lastColumn="0" w:lastRow="0" w:noHBand="0" w:noVBand="1" w:val="04A0"/>
      </w:tblPr>
      <w:tblGrid>
        <w:gridCol w:w="9406"/>
      </w:tblGrid>
      <w:tr>
        <w:tc>
          <w:tcPr>
            <w:tcW w:type="dxa" w:w="8640"/>
            <w:shd w:fill="F0FDF4" w:val="clear"/>
          </w:tcPr>
          <w:p>
            <w:r>
              <w:rPr>
                <w:b/>
                <w:color w:val="059669"/>
                <w:sz w:val="20"/>
              </w:rPr>
              <w:t xml:space="preserve">Insight de precio:  </w:t>
            </w:r>
            <w:r>
              <w:rPr>
                <w:color w:val="111827"/>
                <w:sz w:val="20"/>
              </w:rPr>
              <w:t>Con precios de $153.000–$220.000 y el estándar de 12 clases prácticas de 45 min, una escuela con 30 alumnos nuevos/mes factura entre $4,6M y $6,6M CLP mensuales solo en cursos Clase B. Con 2–3 instructores y 2 vehículos, el modelo es rentable si se gestiona bien la ocupación (capacidad teórica: ~4 alumnos/día × 22 días = 88 alumnos/mes por instructor).</w:t>
            </w:r>
          </w:p>
        </w:tc>
      </w:tr>
    </w:tbl>
    <w:p>
      <w:pPr>
        <w:spacing w:after="80"/>
      </w:pPr>
    </w:p>
    <w:p>
      <w:pPr>
        <w:pStyle w:val="Heading2"/>
        <w:jc w:val="left"/>
      </w:pPr>
      <w:r>
        <w:rPr>
          <w:b/>
          <w:color w:val="1A56DB"/>
        </w:rPr>
        <w:t>1.3 Nivel de digitalización actual</w:t>
      </w:r>
    </w:p>
    <w:p>
      <w:pPr>
        <w:spacing w:after="80" w:before="40"/>
      </w:pPr>
      <w:r>
        <w:rPr>
          <w:b w:val="0"/>
          <w:i w:val="0"/>
          <w:color w:val="111827"/>
          <w:sz w:val="20"/>
        </w:rPr>
        <w:t>Basado en el análisis de presencia web, plataformas y reseñas, el nivel de digitalización de las escuelas de Concepción se puede clasificar así:</w:t>
      </w:r>
    </w:p>
    <w:tbl>
      <w:tblPr>
        <w:tblStyle w:val="TableGrid"/>
        <w:tblW w:type="auto" w:w="0"/>
        <w:tblLook w:firstColumn="1" w:firstRow="1" w:lastColumn="0" w:lastRow="0" w:noHBand="0" w:noVBand="1" w:val="04A0"/>
      </w:tblPr>
      <w:tblGrid>
        <w:gridCol w:w="3135"/>
        <w:gridCol w:w="3135"/>
        <w:gridCol w:w="3135"/>
      </w:tblGrid>
      <w:tr>
        <w:tc>
          <w:tcPr>
            <w:tcW w:type="dxa" w:w="3135"/>
            <w:shd w:fill="1A56DB" w:val="clear"/>
          </w:tcPr>
          <w:p>
            <w:pPr>
              <w:jc w:val="center"/>
            </w:pPr>
            <w:r/>
            <w:r>
              <w:rPr>
                <w:b/>
                <w:color w:val="FFFFFF"/>
                <w:sz w:val="18"/>
              </w:rPr>
              <w:t>Nivel</w:t>
            </w:r>
          </w:p>
        </w:tc>
        <w:tc>
          <w:tcPr>
            <w:tcW w:type="dxa" w:w="3135"/>
            <w:shd w:fill="1A56DB" w:val="clear"/>
          </w:tcPr>
          <w:p>
            <w:pPr>
              <w:jc w:val="center"/>
            </w:pPr>
            <w:r/>
            <w:r>
              <w:rPr>
                <w:b/>
                <w:color w:val="FFFFFF"/>
                <w:sz w:val="18"/>
              </w:rPr>
              <w:t>Escuelas</w:t>
            </w:r>
          </w:p>
        </w:tc>
        <w:tc>
          <w:tcPr>
            <w:tcW w:type="dxa" w:w="3135"/>
            <w:shd w:fill="1A56DB" w:val="clear"/>
          </w:tcPr>
          <w:p>
            <w:pPr>
              <w:jc w:val="center"/>
            </w:pPr>
            <w:r/>
            <w:r>
              <w:rPr>
                <w:b/>
                <w:color w:val="FFFFFF"/>
                <w:sz w:val="18"/>
              </w:rPr>
              <w:t>Características</w:t>
            </w:r>
          </w:p>
        </w:tc>
      </w:tr>
      <w:tr>
        <w:tc>
          <w:tcPr>
            <w:tcW w:type="dxa" w:w="3135"/>
            <w:shd w:fill="F0FDF4" w:val="clear"/>
          </w:tcPr>
          <w:p>
            <w:r>
              <w:rPr>
                <w:b/>
                <w:sz w:val="18"/>
              </w:rPr>
              <w:t>ALTO</w:t>
            </w:r>
          </w:p>
        </w:tc>
        <w:tc>
          <w:tcPr>
            <w:tcW w:type="dxa" w:w="3135"/>
          </w:tcPr>
          <w:p>
            <w:r/>
            <w:r>
              <w:rPr>
                <w:sz w:val="18"/>
              </w:rPr>
              <w:t>Casyc, Conducap</w:t>
            </w:r>
          </w:p>
        </w:tc>
        <w:tc>
          <w:tcPr>
            <w:tcW w:type="dxa" w:w="3135"/>
          </w:tcPr>
          <w:p>
            <w:r/>
            <w:r>
              <w:rPr>
                <w:sz w:val="18"/>
              </w:rPr>
              <w:t>Web activa, plataforma de tests online, simuladores físicos, reservas web</w:t>
            </w:r>
          </w:p>
        </w:tc>
      </w:tr>
      <w:tr>
        <w:tc>
          <w:tcPr>
            <w:tcW w:type="dxa" w:w="3135"/>
            <w:shd w:fill="FFFBEB" w:val="clear"/>
          </w:tcPr>
          <w:p>
            <w:r>
              <w:rPr>
                <w:b/>
                <w:sz w:val="18"/>
              </w:rPr>
              <w:t>MEDIO</w:t>
            </w:r>
          </w:p>
        </w:tc>
        <w:tc>
          <w:tcPr>
            <w:tcW w:type="dxa" w:w="3135"/>
          </w:tcPr>
          <w:p>
            <w:r/>
            <w:r>
              <w:rPr>
                <w:sz w:val="18"/>
              </w:rPr>
              <w:t>SERCAP, ICP</w:t>
            </w:r>
          </w:p>
        </w:tc>
        <w:tc>
          <w:tcPr>
            <w:tcW w:type="dxa" w:w="3135"/>
          </w:tcPr>
          <w:p>
            <w:r/>
            <w:r>
              <w:rPr>
                <w:sz w:val="18"/>
              </w:rPr>
              <w:t>Sitio web, Moodle o LMS, simuladores, pero sin gestión integrada</w:t>
            </w:r>
          </w:p>
        </w:tc>
      </w:tr>
      <w:tr>
        <w:tc>
          <w:tcPr>
            <w:tcW w:type="dxa" w:w="3135"/>
            <w:shd w:fill="FEF2F2" w:val="clear"/>
          </w:tcPr>
          <w:p>
            <w:r>
              <w:rPr>
                <w:b/>
                <w:sz w:val="18"/>
              </w:rPr>
              <w:t>BAJO</w:t>
            </w:r>
          </w:p>
        </w:tc>
        <w:tc>
          <w:tcPr>
            <w:tcW w:type="dxa" w:w="3135"/>
          </w:tcPr>
          <w:p>
            <w:r/>
            <w:r>
              <w:rPr>
                <w:sz w:val="18"/>
              </w:rPr>
              <w:t>R-Group, Nova Chile, Agadez y otros</w:t>
            </w:r>
          </w:p>
        </w:tc>
        <w:tc>
          <w:tcPr>
            <w:tcW w:type="dxa" w:w="3135"/>
          </w:tcPr>
          <w:p>
            <w:r/>
            <w:r>
              <w:rPr>
                <w:sz w:val="18"/>
              </w:rPr>
              <w:t>Solo web/redes sociales, gestión 100 % manual o telefónica</w:t>
            </w:r>
          </w:p>
        </w:tc>
      </w:tr>
    </w:tbl>
    <w:p/>
    <w:p>
      <w:r>
        <w:br w:type="page"/>
      </w:r>
    </w:p>
    <w:p>
      <w:pPr>
        <w:pStyle w:val="Heading1"/>
        <w:jc w:val="left"/>
      </w:pPr>
      <w:r>
        <w:rPr>
          <w:b/>
          <w:color w:val="1A56DB"/>
        </w:rPr>
        <w:t>2. Software para Autoescuelas — Estado del Arte en Chile</w:t>
      </w:r>
    </w:p>
    <w:p>
      <w:pPr>
        <w:pBdr>
          <w:bottom w:val="single" w:sz="4" w:space="1" w:color="1A56DB"/>
        </w:pBdr>
        <w:spacing w:after="120" w:before="120"/>
      </w:pPr>
    </w:p>
    <w:p>
      <w:pPr>
        <w:spacing w:after="160" w:before="40"/>
      </w:pPr>
      <w:r>
        <w:rPr>
          <w:b/>
          <w:i w:val="0"/>
          <w:color w:val="111827"/>
          <w:sz w:val="20"/>
        </w:rPr>
        <w:t>Esta es la sección más crítica del análisis: el mercado chileno de software para escuelas de conductores está en etapa muy temprana. Existe al menos un competidor chileno directo (AutoSchool.cl), pero con presencia de mercado no verificada externamente y sin penetración confirmada en regiones fuera de Santiago. El resto del mercado está cubierto por soluciones importadas de España o EE.UU. sin localización chilena.</w:t>
      </w:r>
    </w:p>
    <w:p>
      <w:pPr>
        <w:pStyle w:val="Heading2"/>
        <w:jc w:val="left"/>
      </w:pPr>
      <w:r>
        <w:rPr>
          <w:b/>
          <w:color w:val="1A56DB"/>
        </w:rPr>
        <w:t>2.1 Mapa de soluciones disponibles en el mercado chileno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A56DB" w:val="clear"/>
          </w:tcPr>
          <w:p>
            <w:pPr>
              <w:jc w:val="center"/>
            </w:pPr>
            <w:r/>
            <w:r>
              <w:rPr>
                <w:b/>
                <w:color w:val="FFFFFF"/>
                <w:sz w:val="18"/>
              </w:rPr>
              <w:t>Software</w:t>
            </w:r>
          </w:p>
        </w:tc>
        <w:tc>
          <w:tcPr>
            <w:tcW w:type="dxa" w:w="1881"/>
            <w:shd w:fill="1A56DB" w:val="clear"/>
          </w:tcPr>
          <w:p>
            <w:pPr>
              <w:jc w:val="center"/>
            </w:pPr>
            <w:r/>
            <w:r>
              <w:rPr>
                <w:b/>
                <w:color w:val="FFFFFF"/>
                <w:sz w:val="18"/>
              </w:rPr>
              <w:t>Origen</w:t>
            </w:r>
          </w:p>
        </w:tc>
        <w:tc>
          <w:tcPr>
            <w:tcW w:type="dxa" w:w="1881"/>
            <w:shd w:fill="1A56DB" w:val="clear"/>
          </w:tcPr>
          <w:p>
            <w:pPr>
              <w:jc w:val="center"/>
            </w:pPr>
            <w:r/>
            <w:r>
              <w:rPr>
                <w:b/>
                <w:color w:val="FFFFFF"/>
                <w:sz w:val="18"/>
              </w:rPr>
              <w:t>Tipo</w:t>
            </w:r>
          </w:p>
        </w:tc>
        <w:tc>
          <w:tcPr>
            <w:tcW w:type="dxa" w:w="1881"/>
            <w:shd w:fill="1A56DB" w:val="clear"/>
          </w:tcPr>
          <w:p>
            <w:pPr>
              <w:jc w:val="center"/>
            </w:pPr>
            <w:r/>
            <w:r>
              <w:rPr>
                <w:b/>
                <w:color w:val="FFFFFF"/>
                <w:sz w:val="18"/>
              </w:rPr>
              <w:t>Precio ref.</w:t>
            </w:r>
          </w:p>
        </w:tc>
        <w:tc>
          <w:tcPr>
            <w:tcW w:type="dxa" w:w="1881"/>
            <w:shd w:fill="1A56DB" w:val="clear"/>
          </w:tcPr>
          <w:p>
            <w:pPr>
              <w:jc w:val="center"/>
            </w:pPr>
            <w:r/>
            <w:r>
              <w:rPr>
                <w:b/>
                <w:color w:val="FFFFFF"/>
                <w:sz w:val="18"/>
              </w:rPr>
              <w:t>Limitación para Chile</w:t>
            </w:r>
          </w:p>
        </w:tc>
      </w:tr>
      <w:tr>
        <w:tc>
          <w:tcPr>
            <w:tcW w:type="dxa" w:w="1881"/>
            <w:shd w:fill="F9FAFB" w:val="clear"/>
          </w:tcPr>
          <w:p>
            <w:r/>
            <w:r>
              <w:rPr>
                <w:sz w:val="18"/>
              </w:rPr>
              <w:t>AutoSchool.cl ⚠️ COMPETIDOR LOCAL</w:t>
            </w:r>
          </w:p>
        </w:tc>
        <w:tc>
          <w:tcPr>
            <w:tcW w:type="dxa" w:w="1881"/>
            <w:shd w:fill="F9FAFB" w:val="clear"/>
          </w:tcPr>
          <w:p>
            <w:r/>
            <w:r>
              <w:rPr>
                <w:sz w:val="18"/>
              </w:rPr>
              <w:t>Chile</w:t>
            </w:r>
          </w:p>
        </w:tc>
        <w:tc>
          <w:tcPr>
            <w:tcW w:type="dxa" w:w="1881"/>
            <w:shd w:fill="F9FAFB" w:val="clear"/>
          </w:tcPr>
          <w:p>
            <w:r/>
            <w:r>
              <w:rPr>
                <w:sz w:val="18"/>
              </w:rPr>
              <w:t>SaaS gestión completa + aula virtual</w:t>
            </w:r>
          </w:p>
        </w:tc>
        <w:tc>
          <w:tcPr>
            <w:tcW w:type="dxa" w:w="1881"/>
            <w:shd w:fill="F9FAFB" w:val="clear"/>
          </w:tcPr>
          <w:p>
            <w:r/>
            <w:r>
              <w:rPr>
                <w:sz w:val="18"/>
              </w:rPr>
              <w:t>$60.000–$120.000/mes</w:t>
            </w:r>
          </w:p>
        </w:tc>
        <w:tc>
          <w:tcPr>
            <w:tcW w:type="dxa" w:w="1881"/>
            <w:shd w:fill="F9FAFB" w:val="clear"/>
          </w:tcPr>
          <w:p>
            <w:r/>
            <w:r>
              <w:rPr>
                <w:sz w:val="18"/>
              </w:rPr>
              <w:t>Existe y cubre agenda, pagos, tests. Sin presencia verificable en Biobío ni reseñas externas</w:t>
            </w:r>
          </w:p>
        </w:tc>
      </w:tr>
      <w:tr>
        <w:tc>
          <w:tcPr>
            <w:tcW w:type="dxa" w:w="1881"/>
          </w:tcPr>
          <w:p>
            <w:r/>
            <w:r>
              <w:rPr>
                <w:sz w:val="18"/>
              </w:rPr>
              <w:t>AriSoft/AriSmart</w:t>
            </w:r>
          </w:p>
        </w:tc>
        <w:tc>
          <w:tcPr>
            <w:tcW w:type="dxa" w:w="1881"/>
          </w:tcPr>
          <w:p>
            <w:r/>
            <w:r>
              <w:rPr>
                <w:sz w:val="18"/>
              </w:rPr>
              <w:t>España</w:t>
            </w:r>
          </w:p>
        </w:tc>
        <w:tc>
          <w:tcPr>
            <w:tcW w:type="dxa" w:w="1881"/>
          </w:tcPr>
          <w:p>
            <w:r/>
            <w:r>
              <w:rPr>
                <w:sz w:val="18"/>
              </w:rPr>
              <w:t>Material didáctico (tests)</w:t>
            </w:r>
          </w:p>
        </w:tc>
        <w:tc>
          <w:tcPr>
            <w:tcW w:type="dxa" w:w="1881"/>
          </w:tcPr>
          <w:p>
            <w:r/>
            <w:r>
              <w:rPr>
                <w:sz w:val="18"/>
              </w:rPr>
              <w:t>AriSmart: $165.000–$240.000 CLP (licencia perpetua)</w:t>
            </w:r>
          </w:p>
        </w:tc>
        <w:tc>
          <w:tcPr>
            <w:tcW w:type="dxa" w:w="1881"/>
          </w:tcPr>
          <w:p>
            <w:r/>
            <w:r>
              <w:rPr>
                <w:sz w:val="18"/>
              </w:rPr>
              <w:t>Solo tests teóricos. Sin gestión administrativa</w:t>
            </w:r>
          </w:p>
        </w:tc>
      </w:tr>
      <w:tr>
        <w:tc>
          <w:tcPr>
            <w:tcW w:type="dxa" w:w="1881"/>
            <w:shd w:fill="F9FAFB" w:val="clear"/>
          </w:tcPr>
          <w:p>
            <w:r/>
            <w:r>
              <w:rPr>
                <w:sz w:val="18"/>
              </w:rPr>
              <w:t>Control-L</w:t>
            </w:r>
          </w:p>
        </w:tc>
        <w:tc>
          <w:tcPr>
            <w:tcW w:type="dxa" w:w="1881"/>
            <w:shd w:fill="F9FAFB" w:val="clear"/>
          </w:tcPr>
          <w:p>
            <w:r/>
            <w:r>
              <w:rPr>
                <w:sz w:val="18"/>
              </w:rPr>
              <w:t>España</w:t>
            </w:r>
          </w:p>
        </w:tc>
        <w:tc>
          <w:tcPr>
            <w:tcW w:type="dxa" w:w="1881"/>
            <w:shd w:fill="F9FAFB" w:val="clear"/>
          </w:tcPr>
          <w:p>
            <w:r/>
            <w:r>
              <w:rPr>
                <w:sz w:val="18"/>
              </w:rPr>
              <w:t>Gestión administrativa</w:t>
            </w:r>
          </w:p>
        </w:tc>
        <w:tc>
          <w:tcPr>
            <w:tcW w:type="dxa" w:w="1881"/>
            <w:shd w:fill="F9FAFB" w:val="clear"/>
          </w:tcPr>
          <w:p>
            <w:r/>
            <w:r>
              <w:rPr>
                <w:sz w:val="18"/>
              </w:rPr>
              <w:t>N/D (suscripción)</w:t>
            </w:r>
          </w:p>
        </w:tc>
        <w:tc>
          <w:tcPr>
            <w:tcW w:type="dxa" w:w="1881"/>
            <w:shd w:fill="F9FAFB" w:val="clear"/>
          </w:tcPr>
          <w:p>
            <w:r/>
            <w:r>
              <w:rPr>
                <w:sz w:val="18"/>
              </w:rPr>
              <w:t>Sin localización chilena (CONASET/MTT)</w:t>
            </w:r>
          </w:p>
        </w:tc>
      </w:tr>
      <w:tr>
        <w:tc>
          <w:tcPr>
            <w:tcW w:type="dxa" w:w="1881"/>
          </w:tcPr>
          <w:p>
            <w:r/>
            <w:r>
              <w:rPr>
                <w:sz w:val="18"/>
              </w:rPr>
              <w:t>Gálibo</w:t>
            </w:r>
          </w:p>
        </w:tc>
        <w:tc>
          <w:tcPr>
            <w:tcW w:type="dxa" w:w="1881"/>
          </w:tcPr>
          <w:p>
            <w:r/>
            <w:r>
              <w:rPr>
                <w:sz w:val="18"/>
              </w:rPr>
              <w:t>España</w:t>
            </w:r>
          </w:p>
        </w:tc>
        <w:tc>
          <w:tcPr>
            <w:tcW w:type="dxa" w:w="1881"/>
          </w:tcPr>
          <w:p>
            <w:r/>
            <w:r>
              <w:rPr>
                <w:sz w:val="18"/>
              </w:rPr>
              <w:t>Gestión + app alumnos</w:t>
            </w:r>
          </w:p>
        </w:tc>
        <w:tc>
          <w:tcPr>
            <w:tcW w:type="dxa" w:w="1881"/>
          </w:tcPr>
          <w:p>
            <w:r/>
            <w:r>
              <w:rPr>
                <w:sz w:val="18"/>
              </w:rPr>
              <w:t>N/D</w:t>
            </w:r>
          </w:p>
        </w:tc>
        <w:tc>
          <w:tcPr>
            <w:tcW w:type="dxa" w:w="1881"/>
          </w:tcPr>
          <w:p>
            <w:r/>
            <w:r>
              <w:rPr>
                <w:sz w:val="18"/>
              </w:rPr>
              <w:t>Sin localización regulatoria chilena</w:t>
            </w:r>
          </w:p>
        </w:tc>
      </w:tr>
      <w:tr>
        <w:tc>
          <w:tcPr>
            <w:tcW w:type="dxa" w:w="1881"/>
            <w:shd w:fill="F9FAFB" w:val="clear"/>
          </w:tcPr>
          <w:p>
            <w:r/>
            <w:r>
              <w:rPr>
                <w:sz w:val="18"/>
              </w:rPr>
              <w:t>Ariauto</w:t>
            </w:r>
          </w:p>
        </w:tc>
        <w:tc>
          <w:tcPr>
            <w:tcW w:type="dxa" w:w="1881"/>
            <w:shd w:fill="F9FAFB" w:val="clear"/>
          </w:tcPr>
          <w:p>
            <w:r/>
            <w:r>
              <w:rPr>
                <w:sz w:val="18"/>
              </w:rPr>
              <w:t>España/Italia</w:t>
            </w:r>
          </w:p>
        </w:tc>
        <w:tc>
          <w:tcPr>
            <w:tcW w:type="dxa" w:w="1881"/>
            <w:shd w:fill="F9FAFB" w:val="clear"/>
          </w:tcPr>
          <w:p>
            <w:r/>
            <w:r>
              <w:rPr>
                <w:sz w:val="18"/>
              </w:rPr>
              <w:t>Gestión completa</w:t>
            </w:r>
          </w:p>
        </w:tc>
        <w:tc>
          <w:tcPr>
            <w:tcW w:type="dxa" w:w="1881"/>
            <w:shd w:fill="F9FAFB" w:val="clear"/>
          </w:tcPr>
          <w:p>
            <w:r/>
            <w:r>
              <w:rPr>
                <w:sz w:val="18"/>
              </w:rPr>
              <w:t>N/D</w:t>
            </w:r>
          </w:p>
        </w:tc>
        <w:tc>
          <w:tcPr>
            <w:tcW w:type="dxa" w:w="1881"/>
            <w:shd w:fill="F9FAFB" w:val="clear"/>
          </w:tcPr>
          <w:p>
            <w:r/>
            <w:r>
              <w:rPr>
                <w:sz w:val="18"/>
              </w:rPr>
              <w:t>Diseñado para regulación española</w:t>
            </w:r>
          </w:p>
        </w:tc>
      </w:tr>
      <w:tr>
        <w:tc>
          <w:tcPr>
            <w:tcW w:type="dxa" w:w="1881"/>
          </w:tcPr>
          <w:p>
            <w:r/>
            <w:r>
              <w:rPr>
                <w:sz w:val="18"/>
              </w:rPr>
              <w:t>Drive Scout</w:t>
            </w:r>
          </w:p>
        </w:tc>
        <w:tc>
          <w:tcPr>
            <w:tcW w:type="dxa" w:w="1881"/>
          </w:tcPr>
          <w:p>
            <w:r/>
            <w:r>
              <w:rPr>
                <w:sz w:val="18"/>
              </w:rPr>
              <w:t>EE.UU.</w:t>
            </w:r>
          </w:p>
        </w:tc>
        <w:tc>
          <w:tcPr>
            <w:tcW w:type="dxa" w:w="1881"/>
          </w:tcPr>
          <w:p>
            <w:r/>
            <w:r>
              <w:rPr>
                <w:sz w:val="18"/>
              </w:rPr>
              <w:t>Scheduling + pagos</w:t>
            </w:r>
          </w:p>
        </w:tc>
        <w:tc>
          <w:tcPr>
            <w:tcW w:type="dxa" w:w="1881"/>
          </w:tcPr>
          <w:p>
            <w:r/>
            <w:r>
              <w:rPr>
                <w:sz w:val="18"/>
              </w:rPr>
              <w:t>Desde USD 99/mes</w:t>
            </w:r>
          </w:p>
        </w:tc>
        <w:tc>
          <w:tcPr>
            <w:tcW w:type="dxa" w:w="1881"/>
          </w:tcPr>
          <w:p>
            <w:r/>
            <w:r>
              <w:rPr>
                <w:sz w:val="18"/>
              </w:rPr>
              <w:t>Sin español, sin adaptación latinoamérica</w:t>
            </w:r>
          </w:p>
        </w:tc>
      </w:tr>
      <w:tr>
        <w:tc>
          <w:tcPr>
            <w:tcW w:type="dxa" w:w="1881"/>
            <w:shd w:fill="F9FAFB" w:val="clear"/>
          </w:tcPr>
          <w:p>
            <w:r/>
            <w:r>
              <w:rPr>
                <w:sz w:val="18"/>
              </w:rPr>
              <w:t>TutorCruncher</w:t>
            </w:r>
          </w:p>
        </w:tc>
        <w:tc>
          <w:tcPr>
            <w:tcW w:type="dxa" w:w="1881"/>
            <w:shd w:fill="F9FAFB" w:val="clear"/>
          </w:tcPr>
          <w:p>
            <w:r/>
            <w:r>
              <w:rPr>
                <w:sz w:val="18"/>
              </w:rPr>
              <w:t>EE.UU.</w:t>
            </w:r>
          </w:p>
        </w:tc>
        <w:tc>
          <w:tcPr>
            <w:tcW w:type="dxa" w:w="1881"/>
            <w:shd w:fill="F9FAFB" w:val="clear"/>
          </w:tcPr>
          <w:p>
            <w:r/>
            <w:r>
              <w:rPr>
                <w:sz w:val="18"/>
              </w:rPr>
              <w:t>Educación general</w:t>
            </w:r>
          </w:p>
        </w:tc>
        <w:tc>
          <w:tcPr>
            <w:tcW w:type="dxa" w:w="1881"/>
            <w:shd w:fill="F9FAFB" w:val="clear"/>
          </w:tcPr>
          <w:p>
            <w:r/>
            <w:r>
              <w:rPr>
                <w:sz w:val="18"/>
              </w:rPr>
              <w:t>N/D</w:t>
            </w:r>
          </w:p>
        </w:tc>
        <w:tc>
          <w:tcPr>
            <w:tcW w:type="dxa" w:w="1881"/>
            <w:shd w:fill="F9FAFB" w:val="clear"/>
          </w:tcPr>
          <w:p>
            <w:r/>
            <w:r>
              <w:rPr>
                <w:sz w:val="18"/>
              </w:rPr>
              <w:t>No específico para escuelas de manejo</w:t>
            </w:r>
          </w:p>
        </w:tc>
      </w:tr>
      <w:tr>
        <w:tc>
          <w:tcPr>
            <w:tcW w:type="dxa" w:w="1881"/>
          </w:tcPr>
          <w:p>
            <w:r/>
            <w:r>
              <w:rPr>
                <w:sz w:val="18"/>
              </w:rPr>
              <w:t>Moodle (SERCAP)</w:t>
            </w:r>
          </w:p>
        </w:tc>
        <w:tc>
          <w:tcPr>
            <w:tcW w:type="dxa" w:w="1881"/>
          </w:tcPr>
          <w:p>
            <w:r/>
            <w:r>
              <w:rPr>
                <w:sz w:val="18"/>
              </w:rPr>
              <w:t>Open Source</w:t>
            </w:r>
          </w:p>
        </w:tc>
        <w:tc>
          <w:tcPr>
            <w:tcW w:type="dxa" w:w="1881"/>
          </w:tcPr>
          <w:p>
            <w:r/>
            <w:r>
              <w:rPr>
                <w:sz w:val="18"/>
              </w:rPr>
              <w:t>LMS genérico</w:t>
            </w:r>
          </w:p>
        </w:tc>
        <w:tc>
          <w:tcPr>
            <w:tcW w:type="dxa" w:w="1881"/>
          </w:tcPr>
          <w:p>
            <w:r/>
            <w:r>
              <w:rPr>
                <w:sz w:val="18"/>
              </w:rPr>
              <w:t>Gratis (impl. costosa)</w:t>
            </w:r>
          </w:p>
        </w:tc>
        <w:tc>
          <w:tcPr>
            <w:tcW w:type="dxa" w:w="1881"/>
          </w:tcPr>
          <w:p>
            <w:r/>
            <w:r>
              <w:rPr>
                <w:sz w:val="18"/>
              </w:rPr>
              <w:t>Solo académico; sin admin, agenda ni pagos</w:t>
            </w:r>
          </w:p>
        </w:tc>
      </w:tr>
      <w:tr>
        <w:tc>
          <w:tcPr>
            <w:tcW w:type="dxa" w:w="1881"/>
          </w:tcPr>
          <w:p/>
        </w:tc>
        <w:tc>
          <w:tcPr>
            <w:tcW w:type="dxa" w:w="1881"/>
          </w:tcPr>
          <w:p/>
        </w:tc>
        <w:tc>
          <w:tcPr>
            <w:tcW w:type="dxa" w:w="1881"/>
          </w:tcPr>
          <w:p/>
        </w:tc>
        <w:tc>
          <w:tcPr>
            <w:tcW w:type="dxa" w:w="1881"/>
          </w:tcPr>
          <w:p/>
        </w:tc>
        <w:tc>
          <w:tcPr>
            <w:tcW w:type="dxa" w:w="1881"/>
          </w:tcPr>
          <w:p/>
        </w:tc>
      </w:tr>
    </w:tbl>
    <w:p/>
    <w:tbl>
      <w:tblPr>
        <w:tblStyle w:val="TableGrid"/>
        <w:tblW w:type="auto" w:w="0"/>
        <w:tblLook w:firstColumn="1" w:firstRow="1" w:lastColumn="0" w:lastRow="0" w:noHBand="0" w:noVBand="1" w:val="04A0"/>
      </w:tblPr>
      <w:tblGrid>
        <w:gridCol w:w="9406"/>
      </w:tblGrid>
      <w:tr>
        <w:tc>
          <w:tcPr>
            <w:tcW w:type="dxa" w:w="8640"/>
            <w:shd w:fill="FEF3C7" w:val="clear"/>
          </w:tcPr>
          <w:p>
            <w:r>
              <w:rPr>
                <w:b/>
                <w:color w:val="D97706"/>
                <w:sz w:val="20"/>
              </w:rPr>
              <w:t xml:space="preserve">Conclusión actualizada:  </w:t>
            </w:r>
            <w:r>
              <w:rPr>
                <w:color w:val="111827"/>
                <w:sz w:val="20"/>
              </w:rPr>
              <w:t>Existe un competidor chileno directo: AutoSchool.cl cubre agenda, pagos, aula virtual y admisiones ($60.000–$120.000/mes). Sin embargo, no tiene presencia verificable en Biobío, no aparece en Capterra ni GetApp Chile, y sus testimonios son de escuelas no identificadas fuera de Concepción. El mercado regional sigue sin un actor con adopción masiva verificada. AriSoft se limita a tests teóricos. La gestión operativa con localización regulatoria (libro de clase SEREMI, control de horas MTT) no tiene cobertura consolidada.</w:t>
            </w:r>
          </w:p>
        </w:tc>
      </w:tr>
    </w:tbl>
    <w:p>
      <w:pPr>
        <w:spacing w:after="80"/>
      </w:pPr>
    </w:p>
    <w:p>
      <w:pPr>
        <w:pStyle w:val="Heading2"/>
        <w:jc w:val="left"/>
      </w:pPr>
      <w:r>
        <w:rPr>
          <w:b/>
          <w:color w:val="1A56DB"/>
        </w:rPr>
        <w:t>2.2 Análisis de AutoSchool.cl — Único Competidor Local Identificado</w:t>
      </w:r>
    </w:p>
    <w:p>
      <w:pPr>
        <w:spacing w:after="80" w:before="40"/>
      </w:pPr>
      <w:r>
        <w:rPr>
          <w:b w:val="0"/>
          <w:i w:val="0"/>
          <w:color w:val="111827"/>
          <w:sz w:val="20"/>
        </w:rPr>
        <w:t>AutoSchool.cl (autoschool.cl) es la única plataforma SaaS chilena identificada que cubre gestión operativa de escuelas de conductores. Se trata de un producto relativamente nuevo (© 2026 en su sitio) con el siguiente perfil:</w:t>
      </w:r>
    </w:p>
    <w:tbl>
      <w:tblPr>
        <w:tblStyle w:val="TableGrid"/>
        <w:tblW w:type="auto" w:w="0"/>
        <w:tblLook w:firstColumn="1" w:firstRow="1" w:lastColumn="0" w:lastRow="0" w:noHBand="0" w:noVBand="1" w:val="04A0"/>
      </w:tblPr>
      <w:tblGrid>
        <w:gridCol w:w="4703"/>
        <w:gridCol w:w="4703"/>
      </w:tblGrid>
      <w:tr>
        <w:tc>
          <w:tcPr>
            <w:tcW w:type="dxa" w:w="4703"/>
            <w:shd w:fill="1A56DB" w:val="clear"/>
          </w:tcPr>
          <w:p>
            <w:pPr>
              <w:jc w:val="center"/>
            </w:pPr>
            <w:r/>
            <w:r>
              <w:rPr>
                <w:b/>
                <w:color w:val="FFFFFF"/>
                <w:sz w:val="18"/>
              </w:rPr>
              <w:t>Dimensión</w:t>
            </w:r>
          </w:p>
        </w:tc>
        <w:tc>
          <w:tcPr>
            <w:tcW w:type="dxa" w:w="4703"/>
            <w:shd w:fill="1A56DB" w:val="clear"/>
          </w:tcPr>
          <w:p>
            <w:pPr>
              <w:jc w:val="center"/>
            </w:pPr>
            <w:r/>
            <w:r>
              <w:rPr>
                <w:b/>
                <w:color w:val="FFFFFF"/>
                <w:sz w:val="18"/>
              </w:rPr>
              <w:t>Detalle</w:t>
            </w:r>
          </w:p>
        </w:tc>
      </w:tr>
      <w:tr>
        <w:tc>
          <w:tcPr>
            <w:tcW w:type="dxa" w:w="4703"/>
            <w:shd w:fill="F0F9FF" w:val="clear"/>
          </w:tcPr>
          <w:p>
            <w:r/>
            <w:r>
              <w:rPr>
                <w:sz w:val="18"/>
              </w:rPr>
              <w:t>Módulos disponibles</w:t>
            </w:r>
          </w:p>
        </w:tc>
        <w:tc>
          <w:tcPr>
            <w:tcW w:type="dxa" w:w="4703"/>
            <w:shd w:fill="F0F9FF" w:val="clear"/>
          </w:tcPr>
          <w:p>
            <w:r/>
            <w:r>
              <w:rPr>
                <w:sz w:val="18"/>
              </w:rPr>
              <w:t>Agenda, inscripciones, ventas/caja, aula virtual (+500 preguntas CONASET), reportes PDF, IA de consulta (Enterprise)</w:t>
            </w:r>
          </w:p>
        </w:tc>
      </w:tr>
      <w:tr>
        <w:tc>
          <w:tcPr>
            <w:tcW w:type="dxa" w:w="4703"/>
          </w:tcPr>
          <w:p>
            <w:r/>
            <w:r>
              <w:rPr>
                <w:sz w:val="18"/>
              </w:rPr>
              <w:t>Planes escuela</w:t>
            </w:r>
          </w:p>
        </w:tc>
        <w:tc>
          <w:tcPr>
            <w:tcW w:type="dxa" w:w="4703"/>
          </w:tcPr>
          <w:p>
            <w:r/>
            <w:r>
              <w:rPr>
                <w:sz w:val="18"/>
              </w:rPr>
              <w:t>Básico $60.000/mes (50 al.) · Profesional $89.990/mes (200 al.) · Enterprise $120.000/mes (ilimitado)</w:t>
            </w:r>
          </w:p>
        </w:tc>
      </w:tr>
      <w:tr>
        <w:tc>
          <w:tcPr>
            <w:tcW w:type="dxa" w:w="4703"/>
            <w:shd w:fill="F0F9FF" w:val="clear"/>
          </w:tcPr>
          <w:p>
            <w:r/>
            <w:r>
              <w:rPr>
                <w:sz w:val="18"/>
              </w:rPr>
              <w:t>Planes alumno</w:t>
            </w:r>
          </w:p>
        </w:tc>
        <w:tc>
          <w:tcPr>
            <w:tcW w:type="dxa" w:w="4703"/>
            <w:shd w:fill="F0F9FF" w:val="clear"/>
          </w:tcPr>
          <w:p>
            <w:r/>
            <w:r>
              <w:rPr>
                <w:sz w:val="18"/>
              </w:rPr>
              <w:t>$9.990 (30 días) · $19.990 (60 días) · $29.990 (90 días + garantía aprobación)</w:t>
            </w:r>
          </w:p>
        </w:tc>
      </w:tr>
      <w:tr>
        <w:tc>
          <w:tcPr>
            <w:tcW w:type="dxa" w:w="4703"/>
          </w:tcPr>
          <w:p>
            <w:r/>
            <w:r>
              <w:rPr>
                <w:sz w:val="18"/>
              </w:rPr>
              <w:t>Testimonios declarados</w:t>
            </w:r>
          </w:p>
        </w:tc>
        <w:tc>
          <w:tcPr>
            <w:tcW w:type="dxa" w:w="4703"/>
          </w:tcPr>
          <w:p>
            <w:r/>
            <w:r>
              <w:rPr>
                <w:sz w:val="18"/>
              </w:rPr>
              <w:t>LunaCarClub (Santiago), Autoescuela del Sur, Escuela Manejo Seguro — ninguno de Concepción</w:t>
            </w:r>
          </w:p>
        </w:tc>
      </w:tr>
      <w:tr>
        <w:tc>
          <w:tcPr>
            <w:tcW w:type="dxa" w:w="4703"/>
            <w:shd w:fill="F0F9FF" w:val="clear"/>
          </w:tcPr>
          <w:p>
            <w:r/>
            <w:r>
              <w:rPr>
                <w:sz w:val="18"/>
              </w:rPr>
              <w:t>Presencia en directorios externos</w:t>
            </w:r>
          </w:p>
        </w:tc>
        <w:tc>
          <w:tcPr>
            <w:tcW w:type="dxa" w:w="4703"/>
            <w:shd w:fill="F0F9FF" w:val="clear"/>
          </w:tcPr>
          <w:p>
            <w:r/>
            <w:r>
              <w:rPr>
                <w:sz w:val="18"/>
              </w:rPr>
              <w:t>NO aparece en Capterra Chile, GetApp Chile ni medios especializados</w:t>
            </w:r>
          </w:p>
        </w:tc>
      </w:tr>
      <w:tr>
        <w:tc>
          <w:tcPr>
            <w:tcW w:type="dxa" w:w="4703"/>
          </w:tcPr>
          <w:p>
            <w:r/>
            <w:r>
              <w:rPr>
                <w:sz w:val="18"/>
              </w:rPr>
              <w:t>Presencia en Biobío/Concepción</w:t>
            </w:r>
          </w:p>
        </w:tc>
        <w:tc>
          <w:tcPr>
            <w:tcW w:type="dxa" w:w="4703"/>
          </w:tcPr>
          <w:p>
            <w:r/>
            <w:r>
              <w:rPr>
                <w:sz w:val="18"/>
              </w:rPr>
              <w:t>No verificada — aparente foco en Santiago</w:t>
            </w:r>
          </w:p>
        </w:tc>
      </w:tr>
    </w:tbl>
    <w:p/>
    <w:p>
      <w:pPr>
        <w:spacing w:after="160" w:before="40"/>
      </w:pPr>
      <w:r>
        <w:rPr>
          <w:b w:val="0"/>
          <w:i/>
          <w:color w:val="6B7280"/>
          <w:sz w:val="20"/>
        </w:rPr>
        <w:t>Evaluación estratégica: AutoSchool.cl representa competencia directa en funcionalidad, pero está en etapa muy temprana de adopción. Su pricing ($60K–$120K/mes) es competitivo. Su debilidad es la ausencia de penetración regional verificable y de reputación externa. Para una escuela en Concepción, esto representa tanto una amenaza futura como una ventana de tiempo para posicionarse primero en el mercado regional.</w:t>
      </w:r>
    </w:p>
    <w:p>
      <w:pPr>
        <w:pStyle w:val="Heading2"/>
        <w:jc w:val="left"/>
      </w:pPr>
      <w:r>
        <w:rPr>
          <w:b/>
          <w:color w:val="1A56DB"/>
        </w:rPr>
        <w:t>2.3 ¿Qué se gestiona hoy con planillas y WhatsApp?</w:t>
      </w:r>
    </w:p>
    <w:p>
      <w:pPr>
        <w:spacing w:after="80" w:before="40"/>
      </w:pPr>
      <w:r>
        <w:rPr>
          <w:b w:val="0"/>
          <w:i w:val="0"/>
          <w:color w:val="111827"/>
          <w:sz w:val="20"/>
        </w:rPr>
        <w:t>La mayoría de las escuelas medianas y pequeñas gestiona manualmente las siguientes operaciones críticas, con alto riesgo de error y pérdida de datos:</w:t>
      </w:r>
    </w:p>
    <w:p>
      <w:pPr>
        <w:pStyle w:val="ListBullet"/>
        <w:spacing w:after="60"/>
      </w:pPr>
      <w:r>
        <w:rPr>
          <w:b/>
          <w:sz w:val="18"/>
        </w:rPr>
        <w:t xml:space="preserve">Reservas de clases prácticas: </w:t>
      </w:r>
      <w:r>
        <w:rPr>
          <w:color w:val="6B7280"/>
          <w:sz w:val="18"/>
        </w:rPr>
        <w:t>Agenda papel o WhatsApp → choques de horario frecuentes</w:t>
      </w:r>
    </w:p>
    <w:p>
      <w:pPr>
        <w:pStyle w:val="ListBullet"/>
        <w:spacing w:after="60"/>
      </w:pPr>
      <w:r>
        <w:rPr>
          <w:b/>
          <w:sz w:val="18"/>
        </w:rPr>
        <w:t xml:space="preserve">Control de horas por alumno: </w:t>
      </w:r>
      <w:r>
        <w:rPr>
          <w:color w:val="6B7280"/>
          <w:sz w:val="18"/>
        </w:rPr>
        <w:t>Planilla Excel → riesgo de incumplir mínimos obligatorios por ley</w:t>
      </w:r>
    </w:p>
    <w:p>
      <w:pPr>
        <w:pStyle w:val="ListBullet"/>
        <w:spacing w:after="60"/>
      </w:pPr>
      <w:r>
        <w:rPr>
          <w:b/>
          <w:sz w:val="18"/>
        </w:rPr>
        <w:t xml:space="preserve">Matrículas y contratos: </w:t>
      </w:r>
      <w:r>
        <w:rPr>
          <w:color w:val="6B7280"/>
          <w:sz w:val="18"/>
        </w:rPr>
        <w:t>Documentos físicos → difícil trazabilidad</w:t>
      </w:r>
    </w:p>
    <w:p>
      <w:pPr>
        <w:pStyle w:val="ListBullet"/>
        <w:spacing w:after="60"/>
      </w:pPr>
      <w:r>
        <w:rPr>
          <w:b/>
          <w:sz w:val="18"/>
        </w:rPr>
        <w:t xml:space="preserve">Cobros y cuotas: </w:t>
      </w:r>
      <w:r>
        <w:rPr>
          <w:color w:val="6B7280"/>
          <w:sz w:val="18"/>
        </w:rPr>
        <w:t>Registro manual → deudas sin seguimiento</w:t>
      </w:r>
    </w:p>
    <w:p>
      <w:pPr>
        <w:pStyle w:val="ListBullet"/>
        <w:spacing w:after="60"/>
      </w:pPr>
      <w:r>
        <w:rPr>
          <w:b/>
          <w:sz w:val="18"/>
        </w:rPr>
        <w:t xml:space="preserve">Libro de clase (SEREMI): </w:t>
      </w:r>
      <w:r>
        <w:rPr>
          <w:color w:val="6B7280"/>
          <w:sz w:val="18"/>
        </w:rPr>
        <w:t>Físico obligatorio → duplicación de registro</w:t>
      </w:r>
    </w:p>
    <w:p>
      <w:pPr>
        <w:pStyle w:val="ListBullet"/>
        <w:spacing w:after="60"/>
      </w:pPr>
      <w:r>
        <w:rPr>
          <w:b/>
          <w:sz w:val="18"/>
        </w:rPr>
        <w:t xml:space="preserve">Disponibilidad de vehículos: </w:t>
      </w:r>
      <w:r>
        <w:rPr>
          <w:color w:val="6B7280"/>
          <w:sz w:val="18"/>
        </w:rPr>
        <w:t>Pizarrón o agenda → solapamiento de vehículos/instructores</w:t>
      </w:r>
    </w:p>
    <w:p>
      <w:pPr>
        <w:pStyle w:val="ListBullet"/>
        <w:spacing w:after="60"/>
      </w:pPr>
      <w:r>
        <w:rPr>
          <w:b/>
          <w:sz w:val="18"/>
        </w:rPr>
        <w:t xml:space="preserve">Comunicación con alumnos: </w:t>
      </w:r>
      <w:r>
        <w:rPr>
          <w:color w:val="6B7280"/>
          <w:sz w:val="18"/>
        </w:rPr>
        <w:t>WhatsApp personal → mezcla con vida privada, sin historial</w:t>
      </w:r>
    </w:p>
    <w:p>
      <w:pPr>
        <w:pStyle w:val="ListBullet"/>
        <w:spacing w:after="60"/>
      </w:pPr>
      <w:r>
        <w:rPr>
          <w:b/>
          <w:sz w:val="18"/>
        </w:rPr>
        <w:t xml:space="preserve">Reporte de avance académico: </w:t>
      </w:r>
      <w:r>
        <w:rPr>
          <w:color w:val="6B7280"/>
          <w:sz w:val="18"/>
        </w:rPr>
        <w:t>Inexistente o manual → alumno sin visibilidad de su progreso</w:t>
      </w:r>
    </w:p>
    <w:p/>
    <w:p>
      <w:r>
        <w:br w:type="page"/>
      </w:r>
    </w:p>
    <w:p>
      <w:pPr>
        <w:pStyle w:val="Heading1"/>
        <w:jc w:val="left"/>
      </w:pPr>
      <w:r>
        <w:rPr>
          <w:b/>
          <w:color w:val="1A56DB"/>
        </w:rPr>
        <w:t>3. Datos Macro del Mercado Chileno</w:t>
      </w:r>
    </w:p>
    <w:p>
      <w:pPr>
        <w:pBdr>
          <w:bottom w:val="single" w:sz="4" w:space="1" w:color="1A56DB"/>
        </w:pBdr>
        <w:spacing w:after="120" w:before="120"/>
      </w:pPr>
    </w:p>
    <w:p>
      <w:pPr>
        <w:pStyle w:val="Heading2"/>
        <w:jc w:val="left"/>
      </w:pPr>
      <w:r>
        <w:rPr>
          <w:b/>
          <w:color w:val="1A56DB"/>
        </w:rPr>
        <w:t>3.1 Licencias de conducir (INE, 2023)</w:t>
      </w:r>
    </w:p>
    <w:p>
      <w:pPr>
        <w:spacing w:after="80" w:before="40"/>
      </w:pPr>
      <w:r>
        <w:rPr>
          <w:b w:val="0"/>
          <w:i w:val="0"/>
          <w:color w:val="111827"/>
          <w:sz w:val="20"/>
        </w:rPr>
        <w:t>El Instituto Nacional de Estadísticas publicó en enero de 2025 los datos de 2023:</w:t>
      </w:r>
    </w:p>
    <w:tbl>
      <w:tblPr>
        <w:tblStyle w:val="TableGrid"/>
        <w:tblW w:type="auto" w:w="0"/>
        <w:tblLook w:firstColumn="1" w:firstRow="1" w:lastColumn="0" w:lastRow="0" w:noHBand="0" w:noVBand="1" w:val="04A0"/>
      </w:tblPr>
      <w:tblGrid>
        <w:gridCol w:w="4703"/>
        <w:gridCol w:w="4703"/>
      </w:tblGrid>
      <w:tr>
        <w:tc>
          <w:tcPr>
            <w:tcW w:type="dxa" w:w="4703"/>
            <w:shd w:fill="1A56DB" w:val="clear"/>
          </w:tcPr>
          <w:p>
            <w:pPr>
              <w:jc w:val="center"/>
            </w:pPr>
            <w:r/>
            <w:r>
              <w:rPr>
                <w:b/>
                <w:color w:val="FFFFFF"/>
                <w:sz w:val="18"/>
              </w:rPr>
              <w:t>Indicador</w:t>
            </w:r>
          </w:p>
        </w:tc>
        <w:tc>
          <w:tcPr>
            <w:tcW w:type="dxa" w:w="4703"/>
            <w:shd w:fill="1A56DB" w:val="clear"/>
          </w:tcPr>
          <w:p>
            <w:pPr>
              <w:jc w:val="center"/>
            </w:pPr>
            <w:r/>
            <w:r>
              <w:rPr>
                <w:b/>
                <w:color w:val="FFFFFF"/>
                <w:sz w:val="18"/>
              </w:rPr>
              <w:t>Dato</w:t>
            </w:r>
          </w:p>
        </w:tc>
      </w:tr>
      <w:tr>
        <w:tc>
          <w:tcPr>
            <w:tcW w:type="dxa" w:w="4703"/>
            <w:shd w:fill="F0F9FF" w:val="clear"/>
          </w:tcPr>
          <w:p>
            <w:r/>
            <w:r>
              <w:rPr>
                <w:sz w:val="18"/>
              </w:rPr>
              <w:t>Total licencias tramitadas Chile (2023)</w:t>
            </w:r>
          </w:p>
        </w:tc>
        <w:tc>
          <w:tcPr>
            <w:tcW w:type="dxa" w:w="4703"/>
            <w:shd w:fill="F0F9FF" w:val="clear"/>
          </w:tcPr>
          <w:p>
            <w:r/>
            <w:r>
              <w:rPr>
                <w:sz w:val="18"/>
              </w:rPr>
              <w:t>1.978.047</w:t>
            </w:r>
          </w:p>
        </w:tc>
      </w:tr>
      <w:tr>
        <w:tc>
          <w:tcPr>
            <w:tcW w:type="dxa" w:w="4703"/>
          </w:tcPr>
          <w:p>
            <w:r/>
            <w:r>
              <w:rPr>
                <w:sz w:val="18"/>
              </w:rPr>
              <w:t>Variación vs año anterior (nacional)</w:t>
            </w:r>
          </w:p>
        </w:tc>
        <w:tc>
          <w:tcPr>
            <w:tcW w:type="dxa" w:w="4703"/>
          </w:tcPr>
          <w:p>
            <w:r/>
            <w:r>
              <w:rPr>
                <w:sz w:val="18"/>
              </w:rPr>
              <w:t>+55,7 % (+707.344 licencias)</w:t>
            </w:r>
          </w:p>
        </w:tc>
      </w:tr>
      <w:tr>
        <w:tc>
          <w:tcPr>
            <w:tcW w:type="dxa" w:w="4703"/>
            <w:shd w:fill="F0F9FF" w:val="clear"/>
          </w:tcPr>
          <w:p>
            <w:r/>
            <w:r>
              <w:rPr>
                <w:sz w:val="18"/>
              </w:rPr>
              <w:t>Licencias NUEVAS (nacional)</w:t>
            </w:r>
          </w:p>
        </w:tc>
        <w:tc>
          <w:tcPr>
            <w:tcW w:type="dxa" w:w="4703"/>
            <w:shd w:fill="F0F9FF" w:val="clear"/>
          </w:tcPr>
          <w:p>
            <w:r/>
            <w:r>
              <w:rPr>
                <w:sz w:val="18"/>
              </w:rPr>
              <w:t>16,6 % del total (328.145)</w:t>
            </w:r>
          </w:p>
        </w:tc>
      </w:tr>
      <w:tr>
        <w:tc>
          <w:tcPr>
            <w:tcW w:type="dxa" w:w="4703"/>
          </w:tcPr>
          <w:p>
            <w:r/>
            <w:r>
              <w:rPr>
                <w:sz w:val="18"/>
              </w:rPr>
              <w:t>Licencias RENOVADAS (nacional)</w:t>
            </w:r>
          </w:p>
        </w:tc>
        <w:tc>
          <w:tcPr>
            <w:tcW w:type="dxa" w:w="4703"/>
          </w:tcPr>
          <w:p>
            <w:r/>
            <w:r>
              <w:rPr>
                <w:sz w:val="18"/>
              </w:rPr>
              <w:t>83,4 % del total (1.649.902)</w:t>
            </w:r>
          </w:p>
        </w:tc>
      </w:tr>
      <w:tr>
        <w:tc>
          <w:tcPr>
            <w:tcW w:type="dxa" w:w="4703"/>
            <w:shd w:fill="F0F9FF" w:val="clear"/>
          </w:tcPr>
          <w:p>
            <w:r/>
            <w:r>
              <w:rPr>
                <w:sz w:val="18"/>
              </w:rPr>
              <w:t>Región Biobío — total licencias (2023)</w:t>
            </w:r>
          </w:p>
        </w:tc>
        <w:tc>
          <w:tcPr>
            <w:tcW w:type="dxa" w:w="4703"/>
            <w:shd w:fill="F0F9FF" w:val="clear"/>
          </w:tcPr>
          <w:p>
            <w:r/>
            <w:r>
              <w:rPr>
                <w:sz w:val="18"/>
              </w:rPr>
              <w:t>186.772 (9,4 % del total nacional — 3.er lugar)</w:t>
            </w:r>
          </w:p>
        </w:tc>
      </w:tr>
      <w:tr>
        <w:tc>
          <w:tcPr>
            <w:tcW w:type="dxa" w:w="4703"/>
          </w:tcPr>
          <w:p>
            <w:r/>
            <w:r>
              <w:rPr>
                <w:sz w:val="18"/>
              </w:rPr>
              <w:t>Biobío — licencias NUEVAS</w:t>
            </w:r>
          </w:p>
        </w:tc>
        <w:tc>
          <w:tcPr>
            <w:tcW w:type="dxa" w:w="4703"/>
          </w:tcPr>
          <w:p>
            <w:r/>
            <w:r>
              <w:rPr>
                <w:sz w:val="18"/>
              </w:rPr>
              <w:t>Bajaron 9,8 % (dato local vs alza nacional)</w:t>
            </w:r>
          </w:p>
        </w:tc>
      </w:tr>
      <w:tr>
        <w:tc>
          <w:tcPr>
            <w:tcW w:type="dxa" w:w="4703"/>
            <w:shd w:fill="F0F9FF" w:val="clear"/>
          </w:tcPr>
          <w:p>
            <w:r/>
            <w:r>
              <w:rPr>
                <w:sz w:val="18"/>
              </w:rPr>
              <w:t>Biobío — licencias RENOVADAS</w:t>
            </w:r>
          </w:p>
        </w:tc>
        <w:tc>
          <w:tcPr>
            <w:tcW w:type="dxa" w:w="4703"/>
            <w:shd w:fill="F0F9FF" w:val="clear"/>
          </w:tcPr>
          <w:p>
            <w:r/>
            <w:r>
              <w:rPr>
                <w:sz w:val="18"/>
              </w:rPr>
              <w:t>Subieron 81,9 %</w:t>
            </w:r>
          </w:p>
        </w:tc>
      </w:tr>
    </w:tbl>
    <w:p/>
    <w:p>
      <w:pPr>
        <w:spacing w:after="160" w:before="40"/>
      </w:pPr>
      <w:r>
        <w:rPr>
          <w:b w:val="0"/>
          <w:i/>
          <w:color w:val="6B7280"/>
          <w:sz w:val="20"/>
        </w:rPr>
        <w:t>El crecimiento nacional del 55,7 % refleja el efecto rebote post-pandemia (2020–2022 suprimió demanda). Importante matiz local: en la Región del Biobío las licencias NUEVAS bajaron un 9,8 % en 2023, siendo el crecimiento regional impulsado casi exclusivamente por renovaciones (+81,9 %). Esto sugiere que la demanda de nuevos conductores en la región no creció en 2023 y que el mercado local se sostiene principalmente en renovaciones periódicas, no en primera licencia.</w:t>
      </w:r>
    </w:p>
    <w:p>
      <w:pPr>
        <w:pStyle w:val="Heading2"/>
        <w:jc w:val="left"/>
      </w:pPr>
      <w:r>
        <w:rPr>
          <w:b/>
          <w:color w:val="1A56DB"/>
        </w:rPr>
        <w:t>3.2 Cambios regulatorios clave (2024–2026)</w:t>
      </w:r>
    </w:p>
    <w:p>
      <w:pPr>
        <w:pStyle w:val="ListBullet"/>
        <w:spacing w:after="80"/>
      </w:pPr>
      <w:r>
        <w:rPr>
          <w:b/>
          <w:sz w:val="19"/>
        </w:rPr>
        <w:t xml:space="preserve">Nexteo (julio–agosto 2024): </w:t>
      </w:r>
      <w:r>
        <w:rPr>
          <w:sz w:val="19"/>
        </w:rPr>
        <w:t>Nuevo examen teórico digital implementado en las 283 Direcciones de Tránsito. 35 preguntas por examen (3 con doble puntaje = 38 pts totales), se necesitan 33 pts para aprobar. Banco de más de 1.000 preguntas rotativas. Las escuelas deben actualizar continuamente su material de preparación.</w:t>
      </w:r>
    </w:p>
    <w:p>
      <w:pPr>
        <w:pStyle w:val="ListBullet"/>
        <w:spacing w:after="80"/>
      </w:pPr>
      <w:r>
        <w:rPr>
          <w:b/>
          <w:sz w:val="19"/>
        </w:rPr>
        <w:t xml:space="preserve">Nuevo Libro del Conductor (agosto 2024): </w:t>
      </w:r>
      <w:r>
        <w:rPr>
          <w:sz w:val="19"/>
        </w:rPr>
        <w:t>Incluye electromovilidad y reacción ante siniestros. Las escuelas deben actualizar su contenido curricular.</w:t>
      </w:r>
    </w:p>
    <w:p>
      <w:pPr>
        <w:pStyle w:val="ListBullet"/>
        <w:spacing w:after="80"/>
      </w:pPr>
      <w:r>
        <w:rPr>
          <w:b/>
          <w:sz w:val="19"/>
        </w:rPr>
        <w:t xml:space="preserve">Licencia digital (2026): </w:t>
      </w:r>
      <w:r>
        <w:rPr>
          <w:sz w:val="19"/>
        </w:rPr>
        <w:t>Implementación de licencia en app móvil (Clave Única). Señal de que el proceso de licencias se digitaliza transversalmente.</w:t>
      </w:r>
    </w:p>
    <w:p>
      <w:pPr>
        <w:pStyle w:val="ListBullet"/>
        <w:spacing w:after="80"/>
      </w:pPr>
      <w:r>
        <w:rPr>
          <w:b/>
          <w:sz w:val="19"/>
        </w:rPr>
        <w:t xml:space="preserve">SEREMI Biobío: </w:t>
      </w:r>
      <w:r>
        <w:rPr>
          <w:sz w:val="19"/>
        </w:rPr>
        <w:t>Autoriza individualmente cada sede y sus planes/programas. El proceso de aprobación es burocrático, lo que genera barrera de entrada para nuevos actores.</w:t>
      </w:r>
    </w:p>
    <w:p/>
    <w:p>
      <w:pPr>
        <w:pStyle w:val="Heading2"/>
        <w:jc w:val="left"/>
      </w:pPr>
      <w:r>
        <w:rPr>
          <w:b/>
          <w:color w:val="1A56DB"/>
        </w:rPr>
        <w:t>3.3 Quejas y pain points documentados (reclamos.cl + MTT)</w:t>
      </w:r>
    </w:p>
    <w:p>
      <w:pPr>
        <w:spacing w:after="80" w:before="40"/>
      </w:pPr>
      <w:r>
        <w:rPr>
          <w:b w:val="0"/>
          <w:i w:val="0"/>
          <w:color w:val="111827"/>
          <w:sz w:val="20"/>
        </w:rPr>
        <w:t>El análisis de reclamos públicos en reclamos.cl y el portal de denuncias del MTT revela un patrón claro de fallas administrativas y operativas:</w:t>
      </w:r>
    </w:p>
    <w:tbl>
      <w:tblPr>
        <w:tblStyle w:val="TableGrid"/>
        <w:tblW w:type="auto" w:w="0"/>
        <w:tblLook w:firstColumn="1" w:firstRow="1" w:lastColumn="0" w:lastRow="0" w:noHBand="0" w:noVBand="1" w:val="04A0"/>
      </w:tblPr>
      <w:tblGrid>
        <w:gridCol w:w="3135"/>
        <w:gridCol w:w="3135"/>
        <w:gridCol w:w="3135"/>
      </w:tblGrid>
      <w:tr>
        <w:tc>
          <w:tcPr>
            <w:tcW w:type="dxa" w:w="3135"/>
            <w:shd w:fill="1A56DB" w:val="clear"/>
          </w:tcPr>
          <w:p>
            <w:pPr>
              <w:jc w:val="center"/>
            </w:pPr>
            <w:r/>
            <w:r>
              <w:rPr>
                <w:b/>
                <w:color w:val="FFFFFF"/>
                <w:sz w:val="18"/>
              </w:rPr>
              <w:t>Ranking</w:t>
            </w:r>
          </w:p>
        </w:tc>
        <w:tc>
          <w:tcPr>
            <w:tcW w:type="dxa" w:w="3135"/>
            <w:shd w:fill="1A56DB" w:val="clear"/>
          </w:tcPr>
          <w:p>
            <w:pPr>
              <w:jc w:val="center"/>
            </w:pPr>
            <w:r/>
            <w:r>
              <w:rPr>
                <w:b/>
                <w:color w:val="FFFFFF"/>
                <w:sz w:val="18"/>
              </w:rPr>
              <w:t>Tipo de queja</w:t>
            </w:r>
          </w:p>
        </w:tc>
        <w:tc>
          <w:tcPr>
            <w:tcW w:type="dxa" w:w="3135"/>
            <w:shd w:fill="1A56DB" w:val="clear"/>
          </w:tcPr>
          <w:p>
            <w:pPr>
              <w:jc w:val="center"/>
            </w:pPr>
            <w:r/>
            <w:r>
              <w:rPr>
                <w:b/>
                <w:color w:val="FFFFFF"/>
                <w:sz w:val="18"/>
              </w:rPr>
              <w:t>Causa raíz</w:t>
            </w:r>
          </w:p>
        </w:tc>
      </w:tr>
      <w:tr>
        <w:tc>
          <w:tcPr>
            <w:tcW w:type="dxa" w:w="3135"/>
            <w:shd w:fill="FEF2F2" w:val="clear"/>
          </w:tcPr>
          <w:p>
            <w:r/>
            <w:r>
              <w:rPr>
                <w:sz w:val="18"/>
              </w:rPr>
              <w:t>1°</w:t>
            </w:r>
          </w:p>
        </w:tc>
        <w:tc>
          <w:tcPr>
            <w:tcW w:type="dxa" w:w="3135"/>
            <w:shd w:fill="FEF2F2" w:val="clear"/>
          </w:tcPr>
          <w:p>
            <w:r/>
            <w:r>
              <w:rPr>
                <w:sz w:val="18"/>
              </w:rPr>
              <w:t>Clases que no se realizan ni recuperan</w:t>
            </w:r>
          </w:p>
        </w:tc>
        <w:tc>
          <w:tcPr>
            <w:tcW w:type="dxa" w:w="3135"/>
            <w:shd w:fill="FEF2F2" w:val="clear"/>
          </w:tcPr>
          <w:p>
            <w:r/>
            <w:r>
              <w:rPr>
                <w:sz w:val="18"/>
              </w:rPr>
              <w:t>Falta de sistema de seguimiento y alertas</w:t>
            </w:r>
          </w:p>
        </w:tc>
      </w:tr>
      <w:tr>
        <w:tc>
          <w:tcPr>
            <w:tcW w:type="dxa" w:w="3135"/>
          </w:tcPr>
          <w:p>
            <w:r/>
            <w:r>
              <w:rPr>
                <w:sz w:val="18"/>
              </w:rPr>
              <w:t>2°</w:t>
            </w:r>
          </w:p>
        </w:tc>
        <w:tc>
          <w:tcPr>
            <w:tcW w:type="dxa" w:w="3135"/>
          </w:tcPr>
          <w:p>
            <w:r/>
            <w:r>
              <w:rPr>
                <w:sz w:val="18"/>
              </w:rPr>
              <w:t>Incumplimiento del cronograma prometido</w:t>
            </w:r>
          </w:p>
        </w:tc>
        <w:tc>
          <w:tcPr>
            <w:tcW w:type="dxa" w:w="3135"/>
          </w:tcPr>
          <w:p>
            <w:r/>
            <w:r>
              <w:rPr>
                <w:sz w:val="18"/>
              </w:rPr>
              <w:t>Sin visibilidad del calendario real del alumno</w:t>
            </w:r>
          </w:p>
        </w:tc>
      </w:tr>
      <w:tr>
        <w:tc>
          <w:tcPr>
            <w:tcW w:type="dxa" w:w="3135"/>
            <w:shd w:fill="FEF2F2" w:val="clear"/>
          </w:tcPr>
          <w:p>
            <w:r/>
            <w:r>
              <w:rPr>
                <w:sz w:val="18"/>
              </w:rPr>
              <w:t>3°</w:t>
            </w:r>
          </w:p>
        </w:tc>
        <w:tc>
          <w:tcPr>
            <w:tcW w:type="dxa" w:w="3135"/>
            <w:shd w:fill="FEF2F2" w:val="clear"/>
          </w:tcPr>
          <w:p>
            <w:r/>
            <w:r>
              <w:rPr>
                <w:sz w:val="18"/>
              </w:rPr>
              <w:t>Promesas no cumplidas (auto para examen)</w:t>
            </w:r>
          </w:p>
        </w:tc>
        <w:tc>
          <w:tcPr>
            <w:tcW w:type="dxa" w:w="3135"/>
            <w:shd w:fill="FEF2F2" w:val="clear"/>
          </w:tcPr>
          <w:p>
            <w:r/>
            <w:r>
              <w:rPr>
                <w:sz w:val="18"/>
              </w:rPr>
              <w:t>Sin contratos digitales con SLA claro</w:t>
            </w:r>
          </w:p>
        </w:tc>
      </w:tr>
      <w:tr>
        <w:tc>
          <w:tcPr>
            <w:tcW w:type="dxa" w:w="3135"/>
          </w:tcPr>
          <w:p>
            <w:r/>
            <w:r>
              <w:rPr>
                <w:sz w:val="18"/>
              </w:rPr>
              <w:t>4°</w:t>
            </w:r>
          </w:p>
        </w:tc>
        <w:tc>
          <w:tcPr>
            <w:tcW w:type="dxa" w:w="3135"/>
          </w:tcPr>
          <w:p>
            <w:r/>
            <w:r>
              <w:rPr>
                <w:sz w:val="18"/>
              </w:rPr>
              <w:t>Mala comunicación y trato</w:t>
            </w:r>
          </w:p>
        </w:tc>
        <w:tc>
          <w:tcPr>
            <w:tcW w:type="dxa" w:w="3135"/>
          </w:tcPr>
          <w:p>
            <w:r/>
            <w:r>
              <w:rPr>
                <w:sz w:val="18"/>
              </w:rPr>
              <w:t>Canales informales (WhatsApp personal del instructor)</w:t>
            </w:r>
          </w:p>
        </w:tc>
      </w:tr>
      <w:tr>
        <w:tc>
          <w:tcPr>
            <w:tcW w:type="dxa" w:w="3135"/>
            <w:shd w:fill="FEF2F2" w:val="clear"/>
          </w:tcPr>
          <w:p>
            <w:r/>
            <w:r>
              <w:rPr>
                <w:sz w:val="18"/>
              </w:rPr>
              <w:t>5°</w:t>
            </w:r>
          </w:p>
        </w:tc>
        <w:tc>
          <w:tcPr>
            <w:tcW w:type="dxa" w:w="3135"/>
            <w:shd w:fill="FEF2F2" w:val="clear"/>
          </w:tcPr>
          <w:p>
            <w:r/>
            <w:r>
              <w:rPr>
                <w:sz w:val="18"/>
              </w:rPr>
              <w:t>Profesores sin experiencia o calificación</w:t>
            </w:r>
          </w:p>
        </w:tc>
        <w:tc>
          <w:tcPr>
            <w:tcW w:type="dxa" w:w="3135"/>
            <w:shd w:fill="FEF2F2" w:val="clear"/>
          </w:tcPr>
          <w:p>
            <w:r/>
            <w:r>
              <w:rPr>
                <w:sz w:val="18"/>
              </w:rPr>
              <w:t>Sin sistema de evaluación de instructores</w:t>
            </w:r>
          </w:p>
        </w:tc>
      </w:tr>
      <w:tr>
        <w:tc>
          <w:tcPr>
            <w:tcW w:type="dxa" w:w="3135"/>
          </w:tcPr>
          <w:p>
            <w:r/>
            <w:r>
              <w:rPr>
                <w:sz w:val="18"/>
              </w:rPr>
              <w:t>6°</w:t>
            </w:r>
          </w:p>
        </w:tc>
        <w:tc>
          <w:tcPr>
            <w:tcW w:type="dxa" w:w="3135"/>
          </w:tcPr>
          <w:p>
            <w:r/>
            <w:r>
              <w:rPr>
                <w:sz w:val="18"/>
              </w:rPr>
              <w:t>Cobros irregulares o no documentados</w:t>
            </w:r>
          </w:p>
        </w:tc>
        <w:tc>
          <w:tcPr>
            <w:tcW w:type="dxa" w:w="3135"/>
          </w:tcPr>
          <w:p>
            <w:r/>
            <w:r>
              <w:rPr>
                <w:sz w:val="18"/>
              </w:rPr>
              <w:t>Sin sistema de facturación integrado</w:t>
            </w:r>
          </w:p>
        </w:tc>
      </w:tr>
    </w:tbl>
    <w:p/>
    <w:tbl>
      <w:tblPr>
        <w:tblStyle w:val="TableGrid"/>
        <w:tblW w:type="auto" w:w="0"/>
        <w:tblLook w:firstColumn="1" w:firstRow="1" w:lastColumn="0" w:lastRow="0" w:noHBand="0" w:noVBand="1" w:val="04A0"/>
      </w:tblPr>
      <w:tblGrid>
        <w:gridCol w:w="9406"/>
      </w:tblGrid>
      <w:tr>
        <w:tc>
          <w:tcPr>
            <w:tcW w:type="dxa" w:w="8640"/>
            <w:shd w:fill="FEF2F2" w:val="clear"/>
          </w:tcPr>
          <w:p>
            <w:r>
              <w:rPr>
                <w:b/>
                <w:color w:val="DC2626"/>
                <w:sz w:val="20"/>
              </w:rPr>
              <w:t xml:space="preserve">Patrón detectado:  </w:t>
            </w:r>
            <w:r>
              <w:rPr>
                <w:color w:val="111827"/>
                <w:sz w:val="20"/>
              </w:rPr>
              <w:t>El 80 % de las quejas proviene de problemas administrativos y de comunicación, NO de calidad pedagógica del instructor. Esto confirma que el dolor principal es operativo y resoluble con tecnología.</w:t>
            </w:r>
          </w:p>
        </w:tc>
      </w:tr>
    </w:tbl>
    <w:p>
      <w:pPr>
        <w:spacing w:after="80"/>
      </w:pPr>
    </w:p>
    <w:p>
      <w:r>
        <w:br w:type="page"/>
      </w:r>
    </w:p>
    <w:p>
      <w:pPr>
        <w:pStyle w:val="Heading1"/>
        <w:jc w:val="left"/>
      </w:pPr>
      <w:r>
        <w:rPr>
          <w:b/>
          <w:color w:val="1A56DB"/>
        </w:rPr>
        <w:t>4. Mercado Global de Software para Autoescuelas</w:t>
      </w:r>
    </w:p>
    <w:p>
      <w:pPr>
        <w:pBdr>
          <w:bottom w:val="single" w:sz="4" w:space="1" w:color="1A56DB"/>
        </w:pBdr>
        <w:spacing w:after="120" w:before="120"/>
      </w:pPr>
    </w:p>
    <w:p>
      <w:pPr>
        <w:spacing w:after="120" w:before="40"/>
      </w:pPr>
      <w:r>
        <w:rPr>
          <w:b w:val="0"/>
          <w:i w:val="0"/>
          <w:color w:val="111827"/>
          <w:sz w:val="20"/>
        </w:rPr>
        <w:t>El mercado global de software de gestión para escuelas de conductores es un nicho especializado dentro del EdTech/SaaS que crece consistentemente por encima del 9 % anual:</w:t>
      </w:r>
    </w:p>
    <w:tbl>
      <w:tblPr>
        <w:tblStyle w:val="TableGrid"/>
        <w:tblW w:type="auto" w:w="0"/>
        <w:tblLook w:firstColumn="1" w:firstRow="1" w:lastColumn="0" w:lastRow="0" w:noHBand="0" w:noVBand="1" w:val="04A0"/>
      </w:tblPr>
      <w:tblGrid>
        <w:gridCol w:w="3135"/>
        <w:gridCol w:w="3135"/>
        <w:gridCol w:w="3135"/>
      </w:tblGrid>
      <w:tr>
        <w:tc>
          <w:tcPr>
            <w:tcW w:type="dxa" w:w="3135"/>
            <w:shd w:fill="1A56DB" w:val="clear"/>
          </w:tcPr>
          <w:p>
            <w:pPr>
              <w:jc w:val="center"/>
            </w:pPr>
            <w:r/>
            <w:r>
              <w:rPr>
                <w:b/>
                <w:color w:val="FFFFFF"/>
                <w:sz w:val="18"/>
              </w:rPr>
              <w:t>Fuente</w:t>
            </w:r>
          </w:p>
        </w:tc>
        <w:tc>
          <w:tcPr>
            <w:tcW w:type="dxa" w:w="3135"/>
            <w:shd w:fill="1A56DB" w:val="clear"/>
          </w:tcPr>
          <w:p>
            <w:pPr>
              <w:jc w:val="center"/>
            </w:pPr>
            <w:r/>
            <w:r>
              <w:rPr>
                <w:b/>
                <w:color w:val="FFFFFF"/>
                <w:sz w:val="18"/>
              </w:rPr>
              <w:t>Valor mercado 2025</w:t>
            </w:r>
          </w:p>
        </w:tc>
        <w:tc>
          <w:tcPr>
            <w:tcW w:type="dxa" w:w="3135"/>
            <w:shd w:fill="1A56DB" w:val="clear"/>
          </w:tcPr>
          <w:p>
            <w:pPr>
              <w:jc w:val="center"/>
            </w:pPr>
            <w:r/>
            <w:r>
              <w:rPr>
                <w:b/>
                <w:color w:val="FFFFFF"/>
                <w:sz w:val="18"/>
              </w:rPr>
              <w:t>Proyección / CAGR</w:t>
            </w:r>
          </w:p>
        </w:tc>
      </w:tr>
      <w:tr>
        <w:tc>
          <w:tcPr>
            <w:tcW w:type="dxa" w:w="3135"/>
            <w:shd w:fill="F0F9FF" w:val="clear"/>
          </w:tcPr>
          <w:p>
            <w:r/>
            <w:r>
              <w:rPr>
                <w:sz w:val="18"/>
              </w:rPr>
              <w:t>Verified Market Reports</w:t>
            </w:r>
          </w:p>
        </w:tc>
        <w:tc>
          <w:tcPr>
            <w:tcW w:type="dxa" w:w="3135"/>
            <w:shd w:fill="F0F9FF" w:val="clear"/>
          </w:tcPr>
          <w:p>
            <w:r/>
            <w:r>
              <w:rPr>
                <w:sz w:val="18"/>
              </w:rPr>
              <w:t>USD 1,2 billones</w:t>
            </w:r>
          </w:p>
        </w:tc>
        <w:tc>
          <w:tcPr>
            <w:tcW w:type="dxa" w:w="3135"/>
            <w:shd w:fill="F0F9FF" w:val="clear"/>
          </w:tcPr>
          <w:p>
            <w:r/>
            <w:r>
              <w:rPr>
                <w:sz w:val="18"/>
              </w:rPr>
              <w:t>USD 2,5 B para 2033  |  CAGR 9,1 %</w:t>
            </w:r>
          </w:p>
        </w:tc>
      </w:tr>
      <w:tr>
        <w:tc>
          <w:tcPr>
            <w:tcW w:type="dxa" w:w="3135"/>
          </w:tcPr>
          <w:p>
            <w:r/>
            <w:r>
              <w:rPr>
                <w:sz w:val="18"/>
              </w:rPr>
              <w:t>Data Horizzon Research</w:t>
            </w:r>
          </w:p>
        </w:tc>
        <w:tc>
          <w:tcPr>
            <w:tcW w:type="dxa" w:w="3135"/>
          </w:tcPr>
          <w:p>
            <w:r/>
            <w:r>
              <w:rPr>
                <w:sz w:val="18"/>
              </w:rPr>
              <w:t>USD 5,1 billones (2023)</w:t>
            </w:r>
          </w:p>
        </w:tc>
        <w:tc>
          <w:tcPr>
            <w:tcW w:type="dxa" w:w="3135"/>
          </w:tcPr>
          <w:p>
            <w:r/>
            <w:r>
              <w:rPr>
                <w:sz w:val="18"/>
              </w:rPr>
              <w:t>USD 12,7 B para 2033  |  CAGR 9,6 %</w:t>
            </w:r>
          </w:p>
        </w:tc>
      </w:tr>
      <w:tr>
        <w:tc>
          <w:tcPr>
            <w:tcW w:type="dxa" w:w="3135"/>
            <w:shd w:fill="F0F9FF" w:val="clear"/>
          </w:tcPr>
          <w:p>
            <w:r/>
            <w:r>
              <w:rPr>
                <w:sz w:val="18"/>
              </w:rPr>
              <w:t>MarkWide Research (2026)</w:t>
            </w:r>
          </w:p>
        </w:tc>
        <w:tc>
          <w:tcPr>
            <w:tcW w:type="dxa" w:w="3135"/>
            <w:shd w:fill="F0F9FF" w:val="clear"/>
          </w:tcPr>
          <w:p>
            <w:r/>
            <w:r>
              <w:rPr>
                <w:sz w:val="18"/>
              </w:rPr>
              <w:t>USD 285 millones</w:t>
            </w:r>
          </w:p>
        </w:tc>
        <w:tc>
          <w:tcPr>
            <w:tcW w:type="dxa" w:w="3135"/>
            <w:shd w:fill="F0F9FF" w:val="clear"/>
          </w:tcPr>
          <w:p>
            <w:r/>
            <w:r>
              <w:rPr>
                <w:sz w:val="18"/>
              </w:rPr>
              <w:t>USD 604 M para 2035  |  CAGR 8,7 %</w:t>
            </w:r>
          </w:p>
        </w:tc>
      </w:tr>
      <w:tr>
        <w:tc>
          <w:tcPr>
            <w:tcW w:type="dxa" w:w="3135"/>
          </w:tcPr>
          <w:p>
            <w:r/>
            <w:r>
              <w:rPr>
                <w:sz w:val="18"/>
              </w:rPr>
              <w:t>LATAM + MEA combinado</w:t>
            </w:r>
          </w:p>
        </w:tc>
        <w:tc>
          <w:tcPr>
            <w:tcW w:type="dxa" w:w="3135"/>
          </w:tcPr>
          <w:p>
            <w:r/>
            <w:r>
              <w:rPr>
                <w:sz w:val="18"/>
              </w:rPr>
              <w:t>&lt; USD 200 millones</w:t>
            </w:r>
          </w:p>
        </w:tc>
        <w:tc>
          <w:tcPr>
            <w:tcW w:type="dxa" w:w="3135"/>
          </w:tcPr>
          <w:p>
            <w:r/>
            <w:r>
              <w:rPr>
                <w:sz w:val="18"/>
              </w:rPr>
              <w:t>~USD 540 M para 2033 (mayor CAGR regional)</w:t>
            </w:r>
          </w:p>
        </w:tc>
      </w:tr>
    </w:tbl>
    <w:p/>
    <w:p>
      <w:pPr>
        <w:spacing w:after="160" w:before="40"/>
      </w:pPr>
      <w:r>
        <w:rPr>
          <w:b w:val="0"/>
          <w:i/>
          <w:color w:val="6B7280"/>
          <w:sz w:val="18"/>
        </w:rPr>
        <w:t>Nota: Las diferencias entre fuentes reflejan distintos alcances de definición del mercado (solo scheduling vs. suite completa). Lo consistente en todas: CAGR ~9 % y LATAM es la región emergente con mayor velocidad de adopción.</w:t>
      </w:r>
    </w:p>
    <w:p>
      <w:pPr>
        <w:pStyle w:val="Heading2"/>
        <w:jc w:val="left"/>
      </w:pPr>
      <w:r>
        <w:rPr>
          <w:b/>
          <w:color w:val="1A56DB"/>
        </w:rPr>
        <w:t>4.1 Modelos de precios dominantes (benchmarks internacionales)</w:t>
      </w:r>
    </w:p>
    <w:p>
      <w:pPr>
        <w:pStyle w:val="ListBullet"/>
        <w:spacing w:after="60"/>
      </w:pPr>
      <w:r>
        <w:rPr>
          <w:b/>
          <w:sz w:val="19"/>
        </w:rPr>
        <w:t xml:space="preserve">Planes entry-level (scheduling básico): </w:t>
      </w:r>
      <w:r>
        <w:rPr>
          <w:sz w:val="19"/>
        </w:rPr>
        <w:t>USD 9–40/mes  →  accesible para escuelas pequeñas</w:t>
      </w:r>
    </w:p>
    <w:p>
      <w:pPr>
        <w:pStyle w:val="ListBullet"/>
        <w:spacing w:after="60"/>
      </w:pPr>
      <w:r>
        <w:rPr>
          <w:b/>
          <w:sz w:val="19"/>
        </w:rPr>
        <w:t xml:space="preserve">Planes mid-market (gestión completa): </w:t>
      </w:r>
      <w:r>
        <w:rPr>
          <w:sz w:val="19"/>
        </w:rPr>
        <w:t>USD 99/mes por sede  →  referencia: DriveSmart 360 Pro</w:t>
      </w:r>
    </w:p>
    <w:p>
      <w:pPr>
        <w:pStyle w:val="ListBullet"/>
        <w:spacing w:after="60"/>
      </w:pPr>
      <w:r>
        <w:rPr>
          <w:b/>
          <w:sz w:val="19"/>
        </w:rPr>
        <w:t xml:space="preserve">Modelo dominante (2026): </w:t>
      </w:r>
      <w:r>
        <w:rPr>
          <w:sz w:val="19"/>
        </w:rPr>
        <w:t>Suscripción mensual (66 % del revenue total del segmento)</w:t>
      </w:r>
    </w:p>
    <w:p>
      <w:pPr>
        <w:pStyle w:val="ListBullet"/>
        <w:spacing w:after="60"/>
      </w:pPr>
      <w:r>
        <w:rPr>
          <w:b/>
          <w:sz w:val="19"/>
        </w:rPr>
        <w:t xml:space="preserve">Preferencia pymes (~55 % del mercado): </w:t>
      </w:r>
      <w:r>
        <w:rPr>
          <w:sz w:val="19"/>
        </w:rPr>
        <w:t>Suscripción mensual por bajo costo inicial</w:t>
      </w:r>
    </w:p>
    <w:p>
      <w:pPr>
        <w:pStyle w:val="ListBullet"/>
        <w:spacing w:after="60"/>
      </w:pPr>
      <w:r>
        <w:rPr>
          <w:b/>
          <w:sz w:val="19"/>
        </w:rPr>
        <w:t xml:space="preserve">Modelo de pago único (legacy): </w:t>
      </w:r>
      <w:r>
        <w:rPr>
          <w:sz w:val="19"/>
        </w:rPr>
        <w:t>AriSoft Chile: AriSmart desde $165.000 CLP (licencia perpetua por sede)</w:t>
      </w:r>
    </w:p>
    <w:p/>
    <w:p>
      <w:pPr>
        <w:spacing w:after="160" w:before="40"/>
      </w:pPr>
      <w:r>
        <w:rPr>
          <w:b w:val="0"/>
          <w:i/>
          <w:color w:val="6B7280"/>
          <w:sz w:val="20"/>
        </w:rPr>
        <w:t>Para el mercado chileno, un precio de UF 2–4/mes (~$73.000–$146.000 CLP) por escuela representaría menos del 1 % de su facturación mensual promedio, lo que lo hace fácilmente justificable si reduce el costo operativo y las quejas de clientes.</w:t>
      </w:r>
    </w:p>
    <w:p>
      <w:r>
        <w:br w:type="page"/>
      </w:r>
    </w:p>
    <w:p>
      <w:pPr>
        <w:pStyle w:val="Heading1"/>
        <w:jc w:val="left"/>
      </w:pPr>
      <w:r>
        <w:rPr>
          <w:b/>
          <w:color w:val="1A56DB"/>
        </w:rPr>
        <w:t>5. Oportunidades de Mercado — Análisis Estratégico</w:t>
      </w:r>
    </w:p>
    <w:p>
      <w:pPr>
        <w:pBdr>
          <w:bottom w:val="single" w:sz="4" w:space="1" w:color="1A56DB"/>
        </w:pBdr>
        <w:spacing w:after="120" w:before="120"/>
      </w:pPr>
    </w:p>
    <w:p>
      <w:pPr>
        <w:pStyle w:val="Heading2"/>
        <w:jc w:val="left"/>
      </w:pPr>
      <w:r>
        <w:rPr>
          <w:b/>
          <w:color w:val="1A56DB"/>
        </w:rPr>
        <w:t>Oportunidad A: SaaS Vertical de Gestión Regional (mercado en etapa temprana)</w:t>
      </w:r>
    </w:p>
    <w:p>
      <w:pPr>
        <w:spacing w:after="80" w:before="40"/>
      </w:pPr>
      <w:r>
        <w:rPr>
          <w:b w:val="0"/>
          <w:i w:val="0"/>
          <w:color w:val="111827"/>
          <w:sz w:val="20"/>
        </w:rPr>
        <w:t>Existe un competidor chileno (AutoSchool.cl, $60K–$120K/mes) pero sin presencia verificada en regiones ni en directorios externos. El mercado de Concepción y el Biobío está sin un actor dominante. La oportunidad no es ser el primero a nivel nacional, sino el referente regional con diferenciación en localización regulatoria y soporte local. TAM estimado:</w:t>
      </w:r>
    </w:p>
    <w:tbl>
      <w:tblPr>
        <w:tblStyle w:val="TableGrid"/>
        <w:tblW w:type="auto" w:w="0"/>
        <w:tblLook w:firstColumn="1" w:firstRow="1" w:lastColumn="0" w:lastRow="0" w:noHBand="0" w:noVBand="1" w:val="04A0"/>
      </w:tblPr>
      <w:tblGrid>
        <w:gridCol w:w="4703"/>
        <w:gridCol w:w="4703"/>
      </w:tblGrid>
      <w:tr>
        <w:tc>
          <w:tcPr>
            <w:tcW w:type="dxa" w:w="4703"/>
            <w:shd w:fill="1A56DB" w:val="clear"/>
          </w:tcPr>
          <w:p>
            <w:pPr>
              <w:jc w:val="center"/>
            </w:pPr>
            <w:r/>
            <w:r>
              <w:rPr>
                <w:b/>
                <w:color w:val="FFFFFF"/>
                <w:sz w:val="18"/>
              </w:rPr>
              <w:t>Variable</w:t>
            </w:r>
          </w:p>
        </w:tc>
        <w:tc>
          <w:tcPr>
            <w:tcW w:type="dxa" w:w="4703"/>
            <w:shd w:fill="1A56DB" w:val="clear"/>
          </w:tcPr>
          <w:p>
            <w:pPr>
              <w:jc w:val="center"/>
            </w:pPr>
            <w:r/>
            <w:r>
              <w:rPr>
                <w:b/>
                <w:color w:val="FFFFFF"/>
                <w:sz w:val="18"/>
              </w:rPr>
              <w:t>Estimación</w:t>
            </w:r>
          </w:p>
        </w:tc>
      </w:tr>
      <w:tr>
        <w:tc>
          <w:tcPr>
            <w:tcW w:type="dxa" w:w="4703"/>
            <w:shd w:fill="F0F9FF" w:val="clear"/>
          </w:tcPr>
          <w:p>
            <w:r/>
            <w:r>
              <w:rPr>
                <w:sz w:val="18"/>
              </w:rPr>
              <w:t>Escuelas de conductores en Chile (estimado)</w:t>
            </w:r>
          </w:p>
        </w:tc>
        <w:tc>
          <w:tcPr>
            <w:tcW w:type="dxa" w:w="4703"/>
            <w:shd w:fill="F0F9FF" w:val="clear"/>
          </w:tcPr>
          <w:p>
            <w:r/>
            <w:r>
              <w:rPr>
                <w:sz w:val="18"/>
              </w:rPr>
              <w:t>~800–1.500 activas a nivel nacional</w:t>
            </w:r>
          </w:p>
        </w:tc>
      </w:tr>
      <w:tr>
        <w:tc>
          <w:tcPr>
            <w:tcW w:type="dxa" w:w="4703"/>
          </w:tcPr>
          <w:p>
            <w:r/>
            <w:r>
              <w:rPr>
                <w:sz w:val="18"/>
              </w:rPr>
              <w:t>Precio SaaS objetivo</w:t>
            </w:r>
          </w:p>
        </w:tc>
        <w:tc>
          <w:tcPr>
            <w:tcW w:type="dxa" w:w="4703"/>
          </w:tcPr>
          <w:p>
            <w:r/>
            <w:r>
              <w:rPr>
                <w:sz w:val="18"/>
              </w:rPr>
              <w:t>UF 2–3/mes (~$73.000–$109.500 CLP)</w:t>
            </w:r>
          </w:p>
        </w:tc>
      </w:tr>
      <w:tr>
        <w:tc>
          <w:tcPr>
            <w:tcW w:type="dxa" w:w="4703"/>
            <w:shd w:fill="F0F9FF" w:val="clear"/>
          </w:tcPr>
          <w:p>
            <w:r/>
            <w:r>
              <w:rPr>
                <w:sz w:val="18"/>
              </w:rPr>
              <w:t>MRR potencial (captura 20 % del mercado)</w:t>
            </w:r>
          </w:p>
        </w:tc>
        <w:tc>
          <w:tcPr>
            <w:tcW w:type="dxa" w:w="4703"/>
            <w:shd w:fill="F0F9FF" w:val="clear"/>
          </w:tcPr>
          <w:p>
            <w:r/>
            <w:r>
              <w:rPr>
                <w:sz w:val="18"/>
              </w:rPr>
              <w:t>~$11,7M–$32,8M CLP/mes</w:t>
            </w:r>
          </w:p>
        </w:tc>
      </w:tr>
      <w:tr>
        <w:tc>
          <w:tcPr>
            <w:tcW w:type="dxa" w:w="4703"/>
          </w:tcPr>
          <w:p>
            <w:r/>
            <w:r>
              <w:rPr>
                <w:sz w:val="18"/>
              </w:rPr>
              <w:t>ARR potencial (20 % penetración)</w:t>
            </w:r>
          </w:p>
        </w:tc>
        <w:tc>
          <w:tcPr>
            <w:tcW w:type="dxa" w:w="4703"/>
          </w:tcPr>
          <w:p>
            <w:r/>
            <w:r>
              <w:rPr>
                <w:sz w:val="18"/>
              </w:rPr>
              <w:t>~$140M–$393M CLP/año</w:t>
            </w:r>
          </w:p>
        </w:tc>
      </w:tr>
    </w:tbl>
    <w:p/>
    <w:p>
      <w:pPr>
        <w:spacing w:after="120" w:before="40"/>
      </w:pPr>
      <w:r>
        <w:rPr>
          <w:b/>
          <w:i w:val="0"/>
          <w:color w:val="111827"/>
          <w:sz w:val="20"/>
        </w:rPr>
        <w:t>Funcionalidades mínimas viables (MVP) para conquistar el mercado:</w:t>
      </w:r>
    </w:p>
    <w:p>
      <w:pPr>
        <w:pStyle w:val="ListBullet"/>
        <w:spacing w:after="60"/>
      </w:pPr>
      <w:r>
        <w:rPr>
          <w:color w:val="111827"/>
          <w:sz w:val="20"/>
        </w:rPr>
        <w:t>Gestión de matrículas y contratos digitales</w:t>
      </w:r>
    </w:p>
    <w:p>
      <w:pPr>
        <w:pStyle w:val="ListBullet"/>
        <w:spacing w:after="60"/>
      </w:pPr>
      <w:r>
        <w:rPr>
          <w:color w:val="111827"/>
          <w:sz w:val="20"/>
        </w:rPr>
        <w:t>Agenda de instructores y vehículos (sin solapamientos)</w:t>
      </w:r>
    </w:p>
    <w:p>
      <w:pPr>
        <w:pStyle w:val="ListBullet"/>
        <w:spacing w:after="60"/>
      </w:pPr>
      <w:r>
        <w:rPr>
          <w:color w:val="111827"/>
          <w:sz w:val="20"/>
        </w:rPr>
        <w:t>Control automático de horas por alumno (validación regulatoria)</w:t>
      </w:r>
    </w:p>
    <w:p>
      <w:pPr>
        <w:pStyle w:val="ListBullet"/>
        <w:spacing w:after="60"/>
      </w:pPr>
      <w:r>
        <w:rPr>
          <w:color w:val="111827"/>
          <w:sz w:val="20"/>
        </w:rPr>
        <w:t>Módulo de cobros y cuotas con alertas de deuda</w:t>
      </w:r>
    </w:p>
    <w:p>
      <w:pPr>
        <w:pStyle w:val="ListBullet"/>
        <w:spacing w:after="60"/>
      </w:pPr>
      <w:r>
        <w:rPr>
          <w:color w:val="111827"/>
          <w:sz w:val="20"/>
        </w:rPr>
        <w:t>Libro de clase digital (trazabilidad para SEREMI)</w:t>
      </w:r>
    </w:p>
    <w:p>
      <w:pPr>
        <w:pStyle w:val="ListBullet"/>
        <w:spacing w:after="60"/>
      </w:pPr>
      <w:r>
        <w:rPr>
          <w:color w:val="111827"/>
          <w:sz w:val="20"/>
        </w:rPr>
        <w:t>App o portal del alumno (avance, reservas, historial)</w:t>
      </w:r>
    </w:p>
    <w:p>
      <w:pPr>
        <w:pStyle w:val="ListBullet"/>
        <w:spacing w:after="60"/>
      </w:pPr>
      <w:r>
        <w:rPr>
          <w:color w:val="111827"/>
          <w:sz w:val="20"/>
        </w:rPr>
        <w:t>Comunicación centralizada (sin WhatsApp personal)</w:t>
      </w:r>
    </w:p>
    <w:p>
      <w:pPr>
        <w:pStyle w:val="ListBullet"/>
        <w:spacing w:after="60"/>
      </w:pPr>
      <w:r>
        <w:rPr>
          <w:color w:val="111827"/>
          <w:sz w:val="20"/>
        </w:rPr>
        <w:t>Reportes regulatorios (CONASET/MTT)</w:t>
      </w:r>
    </w:p>
    <w:p/>
    <w:p>
      <w:pPr>
        <w:pStyle w:val="Heading2"/>
        <w:jc w:val="left"/>
      </w:pPr>
      <w:r>
        <w:rPr>
          <w:b/>
          <w:color w:val="1A56DB"/>
        </w:rPr>
        <w:t>Oportunidad B: Experiencia Digital del Alumno</w:t>
      </w:r>
    </w:p>
    <w:p>
      <w:pPr>
        <w:spacing w:after="160" w:before="40"/>
      </w:pPr>
      <w:r>
        <w:rPr>
          <w:b w:val="0"/>
          <w:i w:val="0"/>
          <w:color w:val="111827"/>
          <w:sz w:val="20"/>
        </w:rPr>
        <w:t>Las escuelas líderes (Casyc, SERCAP) ya demuestran que los alumnos valoran la preparación online para el examen Nexteo, los simuladores y la comunicación ágil. Las escuelas medianas no tienen acceso a esto por costo o capacidad técnica. Una solución SaaS que incluya módulo de tests online actualizado con el material CONASET tendría tracción inmediata.</w:t>
      </w:r>
    </w:p>
    <w:p>
      <w:pPr>
        <w:pStyle w:val="Heading2"/>
        <w:jc w:val="left"/>
      </w:pPr>
      <w:r>
        <w:rPr>
          <w:b/>
          <w:color w:val="1A56DB"/>
        </w:rPr>
        <w:t>Oportunidad C: Expansión desde Concepción</w:t>
      </w:r>
    </w:p>
    <w:p>
      <w:pPr>
        <w:spacing w:after="80" w:before="40"/>
      </w:pPr>
      <w:r>
        <w:rPr>
          <w:b w:val="0"/>
          <w:i w:val="0"/>
          <w:color w:val="111827"/>
          <w:sz w:val="20"/>
        </w:rPr>
        <w:t>Concepción es la 2.ª ciudad de Chile y el hub de la Macrozona Sur. La competencia local está menos consolidada que en Santiago, y la industria forestal, logística y portuaria del Biobío genera demanda constante de conductores profesionales (Clase A). Ventajas de partir desde Concepción:</w:t>
      </w:r>
    </w:p>
    <w:p>
      <w:pPr>
        <w:pStyle w:val="ListBullet"/>
        <w:spacing w:after="60"/>
      </w:pPr>
      <w:r>
        <w:rPr>
          <w:color w:val="111827"/>
          <w:sz w:val="20"/>
        </w:rPr>
        <w:t>Menor costo de adquisición de clientes (mercado más pequeño y relacional)</w:t>
      </w:r>
    </w:p>
    <w:p>
      <w:pPr>
        <w:pStyle w:val="ListBullet"/>
        <w:spacing w:after="60"/>
      </w:pPr>
      <w:r>
        <w:rPr>
          <w:color w:val="111827"/>
          <w:sz w:val="20"/>
        </w:rPr>
        <w:t>Posibilidad de ser referencia regional antes de entrar a Santiago</w:t>
      </w:r>
    </w:p>
    <w:p>
      <w:pPr>
        <w:pStyle w:val="ListBullet"/>
        <w:spacing w:after="60"/>
      </w:pPr>
      <w:r>
        <w:rPr>
          <w:color w:val="111827"/>
          <w:sz w:val="20"/>
        </w:rPr>
        <w:t>Demanda de Clase A (conductores profesionales) ligada a industria → mayor ticket</w:t>
      </w:r>
    </w:p>
    <w:p>
      <w:pPr>
        <w:pStyle w:val="ListBullet"/>
        <w:spacing w:after="60"/>
      </w:pPr>
      <w:r>
        <w:rPr>
          <w:color w:val="111827"/>
          <w:sz w:val="20"/>
        </w:rPr>
        <w:t>Red de contactos y credibilidad local como ventaja competitiva</w:t>
      </w:r>
    </w:p>
    <w:p/>
    <w:p>
      <w:pPr>
        <w:pStyle w:val="Heading2"/>
        <w:jc w:val="left"/>
      </w:pPr>
      <w:r>
        <w:rPr>
          <w:b/>
          <w:color w:val="1A56DB"/>
        </w:rPr>
        <w:t>Oportunidad D: Nicho Clase A — Conductores Profesionales</w:t>
      </w:r>
    </w:p>
    <w:p>
      <w:pPr>
        <w:spacing w:after="120" w:before="40"/>
      </w:pPr>
      <w:r>
        <w:rPr>
          <w:b w:val="0"/>
          <w:i w:val="0"/>
          <w:color w:val="111827"/>
          <w:sz w:val="20"/>
        </w:rPr>
        <w:t>El sector logístico, forestal y de construcción del Biobío tiene escasez crónica de conductores profesionales (camiones, maquinaria). SERCAP ya apuntó a este nicho (Clase A3/A5), pero con bajo volumen. Las Clases A2–A5 tienen cursos más largos y caros que la Clase B, con mayor margen por alumno y subsidios SENCE disponibles para OTEC certificados.</w:t>
      </w:r>
    </w:p>
    <w:tbl>
      <w:tblPr>
        <w:tblStyle w:val="TableGrid"/>
        <w:tblW w:type="auto" w:w="0"/>
        <w:tblLook w:firstColumn="1" w:firstRow="1" w:lastColumn="0" w:lastRow="0" w:noHBand="0" w:noVBand="1" w:val="04A0"/>
      </w:tblPr>
      <w:tblGrid>
        <w:gridCol w:w="9406"/>
      </w:tblGrid>
      <w:tr>
        <w:tc>
          <w:tcPr>
            <w:tcW w:type="dxa" w:w="8640"/>
            <w:shd w:fill="ECFDF5" w:val="clear"/>
          </w:tcPr>
          <w:p>
            <w:r>
              <w:rPr>
                <w:b/>
                <w:color w:val="059669"/>
                <w:sz w:val="20"/>
              </w:rPr>
              <w:t xml:space="preserve">Dato de negocio:  </w:t>
            </w:r>
            <w:r>
              <w:rPr>
                <w:color w:val="111827"/>
                <w:sz w:val="20"/>
              </w:rPr>
              <w:t>Una escuela OTEC certificada puede acceder a financiamiento SENCE para cursos de conductor profesional, lo que reduce el costo para el alumno y aumenta el volumen. SERCAP ya opera como OTEC — es un modelo replicable.</w:t>
            </w:r>
          </w:p>
        </w:tc>
      </w:tr>
    </w:tbl>
    <w:p>
      <w:pPr>
        <w:spacing w:after="80"/>
      </w:pPr>
    </w:p>
    <w:p/>
    <w:p>
      <w:pPr>
        <w:pStyle w:val="Heading2"/>
        <w:jc w:val="left"/>
      </w:pPr>
      <w:r>
        <w:rPr>
          <w:b/>
          <w:color w:val="1A56DB"/>
        </w:rPr>
        <w:t>Oportunidad E: Escuelas Ilegales como Mercado No Atendido</w:t>
      </w:r>
    </w:p>
    <w:p>
      <w:pPr>
        <w:spacing w:after="160" w:before="40"/>
      </w:pPr>
      <w:r>
        <w:rPr>
          <w:b w:val="0"/>
          <w:i w:val="0"/>
          <w:color w:val="111827"/>
          <w:sz w:val="20"/>
        </w:rPr>
        <w:t>En 2023, Meganoticias documentó la proliferación de 'escuelas de conductores ilegales' (instructores que ofrecen clases sin autorización SEREMI a precios bajos). Esto indica demanda no atendida, especialmente en precio. Una plataforma de marketplace que conecte instructores certificados independientes con alumnos podría capturar este segmento de forma legal y escalable.</w:t>
      </w:r>
    </w:p>
    <w:p>
      <w:r>
        <w:br w:type="page"/>
      </w:r>
    </w:p>
    <w:p>
      <w:pPr>
        <w:pStyle w:val="Heading1"/>
        <w:jc w:val="left"/>
      </w:pPr>
      <w:r>
        <w:rPr>
          <w:b/>
          <w:color w:val="1A56DB"/>
        </w:rPr>
        <w:t>6. Análisis FODA del Mercado</w:t>
      </w:r>
    </w:p>
    <w:p>
      <w:pPr>
        <w:pBdr>
          <w:bottom w:val="single" w:sz="4" w:space="1" w:color="1A56DB"/>
        </w:pBdr>
        <w:spacing w:after="120" w:before="120"/>
      </w:pPr>
    </w:p>
    <w:tbl>
      <w:tblPr>
        <w:tblStyle w:val="TableGrid"/>
        <w:tblW w:type="auto" w:w="0"/>
        <w:tblLook w:firstColumn="1" w:firstRow="1" w:lastColumn="0" w:lastRow="0" w:noHBand="0" w:noVBand="1" w:val="04A0"/>
      </w:tblPr>
      <w:tblGrid>
        <w:gridCol w:w="4703"/>
        <w:gridCol w:w="4703"/>
      </w:tblGrid>
      <w:tr>
        <w:tc>
          <w:tcPr>
            <w:tcW w:type="dxa" w:w="9406"/>
            <w:gridSpan w:val="2"/>
            <w:shd w:fill="111827" w:val="clear"/>
          </w:tcPr>
          <w:p>
            <w:pPr>
              <w:jc w:val="center"/>
            </w:pPr>
            <w:r/>
            <w:r>
              <w:rPr>
                <w:b/>
                <w:color w:val="FFFFFF"/>
                <w:sz w:val="22"/>
              </w:rPr>
              <w:t>ANÁLISIS FODA — Mercado de Autoescuelas en Chile</w:t>
            </w:r>
          </w:p>
        </w:tc>
      </w:tr>
      <w:tr>
        <w:tc>
          <w:tcPr>
            <w:tcW w:type="dxa" w:w="4703"/>
            <w:shd w:fill="F0F9FF" w:val="clear"/>
          </w:tcPr>
          <w:p>
            <w:r/>
            <w:r>
              <w:rPr>
                <w:b/>
                <w:color w:val="1A56DB"/>
                <w:sz w:val="20"/>
              </w:rPr>
              <w:t>FORTALEZAS</w:t>
            </w:r>
          </w:p>
          <w:p>
            <w:pPr>
              <w:pStyle w:val="ListBullet"/>
              <w:spacing w:after="40"/>
            </w:pPr>
            <w:r>
              <w:rPr>
                <w:sz w:val="17"/>
              </w:rPr>
              <w:t>Mercado en expansión (+55 % licencias 2023 a nivel nacional)</w:t>
            </w:r>
          </w:p>
          <w:p>
            <w:pPr>
              <w:pStyle w:val="ListBullet"/>
              <w:spacing w:after="40"/>
            </w:pPr>
            <w:r>
              <w:rPr>
                <w:sz w:val="17"/>
              </w:rPr>
              <w:t>Precios de mercado validados: $153K–$220K por curso Clase B</w:t>
            </w:r>
          </w:p>
          <w:p>
            <w:pPr>
              <w:pStyle w:val="ListBullet"/>
              <w:spacing w:after="40"/>
            </w:pPr>
            <w:r>
              <w:rPr>
                <w:sz w:val="17"/>
              </w:rPr>
              <w:t>Demanda estructural constante (autos nuevos, empleo logístico)</w:t>
            </w:r>
          </w:p>
          <w:p>
            <w:pPr>
              <w:pStyle w:val="ListBullet"/>
              <w:spacing w:after="40"/>
            </w:pPr>
            <w:r>
              <w:rPr>
                <w:sz w:val="17"/>
              </w:rPr>
              <w:t>Mercado local relacional: buen NPS = crecimiento orgánico rápido</w:t>
            </w:r>
          </w:p>
        </w:tc>
        <w:tc>
          <w:tcPr>
            <w:tcW w:type="dxa" w:w="4703"/>
            <w:shd w:fill="F0FDF4" w:val="clear"/>
          </w:tcPr>
          <w:p>
            <w:r/>
            <w:r>
              <w:rPr>
                <w:b/>
                <w:color w:val="059669"/>
                <w:sz w:val="20"/>
              </w:rPr>
              <w:t>OPORTUNIDADES</w:t>
            </w:r>
          </w:p>
          <w:p>
            <w:pPr>
              <w:pStyle w:val="ListBullet"/>
              <w:spacing w:after="40"/>
            </w:pPr>
            <w:r>
              <w:rPr>
                <w:sz w:val="17"/>
              </w:rPr>
              <w:t>Único competidor SaaS chileno (AutoSchool.cl) sin presencia en Biobío</w:t>
            </w:r>
          </w:p>
          <w:p>
            <w:pPr>
              <w:pStyle w:val="ListBullet"/>
              <w:spacing w:after="40"/>
            </w:pPr>
            <w:r>
              <w:rPr>
                <w:sz w:val="17"/>
              </w:rPr>
              <w:t>Regulación cambiante (Nexteo) = ventaja para quien actualice más rápido</w:t>
            </w:r>
          </w:p>
          <w:p>
            <w:pPr>
              <w:pStyle w:val="ListBullet"/>
              <w:spacing w:after="40"/>
            </w:pPr>
            <w:r>
              <w:rPr>
                <w:sz w:val="17"/>
              </w:rPr>
              <w:t>LATAM sin actores regionales dominantes en SaaS autoescuelas</w:t>
            </w:r>
          </w:p>
          <w:p>
            <w:pPr>
              <w:pStyle w:val="ListBullet"/>
              <w:spacing w:after="40"/>
            </w:pPr>
            <w:r>
              <w:rPr>
                <w:sz w:val="17"/>
              </w:rPr>
              <w:t>Subsidios SENCE para OTEC de conductores profesionales (Clase A)</w:t>
            </w:r>
          </w:p>
        </w:tc>
      </w:tr>
      <w:tr>
        <w:tc>
          <w:tcPr>
            <w:tcW w:type="dxa" w:w="4703"/>
            <w:shd w:fill="FFFBEB" w:val="clear"/>
          </w:tcPr>
          <w:p>
            <w:r/>
            <w:r>
              <w:rPr>
                <w:b/>
                <w:color w:val="D97706"/>
                <w:sz w:val="20"/>
              </w:rPr>
              <w:t>DEBILIDADES</w:t>
            </w:r>
          </w:p>
          <w:p>
            <w:pPr>
              <w:pStyle w:val="ListBullet"/>
              <w:spacing w:after="40"/>
            </w:pPr>
            <w:r>
              <w:rPr>
                <w:sz w:val="17"/>
              </w:rPr>
              <w:t>Alta concentración en 2 actores líderes (Casyc y Conducap)</w:t>
            </w:r>
          </w:p>
          <w:p>
            <w:pPr>
              <w:pStyle w:val="ListBullet"/>
              <w:spacing w:after="40"/>
            </w:pPr>
            <w:r>
              <w:rPr>
                <w:sz w:val="17"/>
              </w:rPr>
              <w:t>Escuelas medianas con bajo capital para adoptar tecnología</w:t>
            </w:r>
          </w:p>
          <w:p>
            <w:pPr>
              <w:pStyle w:val="ListBullet"/>
              <w:spacing w:after="40"/>
            </w:pPr>
            <w:r>
              <w:rPr>
                <w:sz w:val="17"/>
              </w:rPr>
              <w:t>Proceso regulatorio burocrático para nuevas sedes</w:t>
            </w:r>
          </w:p>
          <w:p>
            <w:pPr>
              <w:pStyle w:val="ListBullet"/>
              <w:spacing w:after="40"/>
            </w:pPr>
            <w:r>
              <w:rPr>
                <w:sz w:val="17"/>
              </w:rPr>
              <w:t>Fidelidad de alumnos baja (compra única, sin recurrencia)</w:t>
            </w:r>
          </w:p>
        </w:tc>
        <w:tc>
          <w:tcPr>
            <w:tcW w:type="dxa" w:w="4703"/>
            <w:shd w:fill="FEF2F2" w:val="clear"/>
          </w:tcPr>
          <w:p>
            <w:r/>
            <w:r>
              <w:rPr>
                <w:b/>
                <w:color w:val="DC2626"/>
                <w:sz w:val="20"/>
              </w:rPr>
              <w:t>AMENAZAS</w:t>
            </w:r>
          </w:p>
          <w:p>
            <w:pPr>
              <w:pStyle w:val="ListBullet"/>
              <w:spacing w:after="40"/>
            </w:pPr>
            <w:r>
              <w:rPr>
                <w:sz w:val="17"/>
              </w:rPr>
              <w:t>AutoSchool.cl puede expandirse a regiones antes de que otro lo haga</w:t>
            </w:r>
          </w:p>
          <w:p>
            <w:pPr>
              <w:pStyle w:val="ListBullet"/>
              <w:spacing w:after="40"/>
            </w:pPr>
            <w:r>
              <w:rPr>
                <w:sz w:val="17"/>
              </w:rPr>
              <w:t>Entrada de software español (Control-L, Gálibo) con localización</w:t>
            </w:r>
          </w:p>
          <w:p>
            <w:pPr>
              <w:pStyle w:val="ListBullet"/>
              <w:spacing w:after="40"/>
            </w:pPr>
            <w:r>
              <w:rPr>
                <w:sz w:val="17"/>
              </w:rPr>
              <w:t>Grandes jugadores EdTech latinoamericanos pivotando al nicho</w:t>
            </w:r>
          </w:p>
          <w:p>
            <w:pPr>
              <w:pStyle w:val="ListBullet"/>
              <w:spacing w:after="40"/>
            </w:pPr>
            <w:r>
              <w:rPr>
                <w:sz w:val="17"/>
              </w:rPr>
              <w:t>Competencia por precio de instructores informales (mercado gris)</w:t>
            </w:r>
          </w:p>
        </w:tc>
      </w:tr>
    </w:tbl>
    <w:p/>
    <w:p>
      <w:r>
        <w:br w:type="page"/>
      </w:r>
    </w:p>
    <w:p>
      <w:pPr>
        <w:pStyle w:val="Heading1"/>
        <w:jc w:val="left"/>
      </w:pPr>
      <w:r>
        <w:rPr>
          <w:b/>
          <w:color w:val="1A56DB"/>
        </w:rPr>
        <w:t>7. Conclusiones y Recomendaciones</w:t>
      </w:r>
    </w:p>
    <w:p>
      <w:pPr>
        <w:pBdr>
          <w:bottom w:val="single" w:sz="4" w:space="1" w:color="1A56DB"/>
        </w:pBdr>
        <w:spacing w:after="120" w:before="120"/>
      </w:pPr>
    </w:p>
    <w:p>
      <w:pPr>
        <w:pStyle w:val="Heading2"/>
        <w:jc w:val="left"/>
      </w:pPr>
      <w:r>
        <w:rPr>
          <w:b/>
          <w:color w:val="1A56DB"/>
        </w:rPr>
        <w:t>7.1 Conclusiones principales</w:t>
      </w:r>
    </w:p>
    <w:p>
      <w:pPr>
        <w:spacing w:after="40"/>
      </w:pPr>
      <w:r>
        <w:rPr>
          <w:b/>
          <w:color w:val="1A56DB"/>
          <w:sz w:val="20"/>
        </w:rPr>
        <w:t xml:space="preserve">1. El mercado chileno de escuelas de conductores está en expansión y es rentable.  </w:t>
      </w:r>
    </w:p>
    <w:p>
      <w:pPr>
        <w:spacing w:before="0" w:after="160"/>
        <w:ind w:left="360"/>
      </w:pPr>
      <w:r>
        <w:rPr>
          <w:color w:val="6B7280"/>
          <w:sz w:val="19"/>
        </w:rPr>
        <w:t>Con casi 2 millones de licencias tramitadas en 2023 y un alza del 55,7 %, la demanda estructural es sólida. Concepción tiene 12 actores pero solo 2 dominantes claros.</w:t>
      </w:r>
    </w:p>
    <w:p>
      <w:pPr>
        <w:spacing w:after="40"/>
      </w:pPr>
      <w:r>
        <w:rPr>
          <w:b/>
          <w:color w:val="1A56DB"/>
          <w:sz w:val="20"/>
        </w:rPr>
        <w:t xml:space="preserve">2. El mercado de software está en etapa temprana, con un competidor local identificado.  </w:t>
      </w:r>
    </w:p>
    <w:p>
      <w:pPr>
        <w:spacing w:before="0" w:after="160"/>
        <w:ind w:left="360"/>
      </w:pPr>
      <w:r>
        <w:rPr>
          <w:color w:val="6B7280"/>
          <w:sz w:val="19"/>
        </w:rPr>
        <w:t>AutoSchool.cl existe como SaaS chileno con gestión operativa ($60K–$120K/mes), pero sin presencia verificable en Biobío ni en directorios externos. AriSoft solo cubre tests. El mercado regional de Concepción sigue sin un actor con adopción masiva confirmada.</w:t>
      </w:r>
    </w:p>
    <w:p>
      <w:pPr>
        <w:spacing w:after="40"/>
      </w:pPr>
      <w:r>
        <w:rPr>
          <w:b/>
          <w:color w:val="1A56DB"/>
          <w:sz w:val="20"/>
        </w:rPr>
        <w:t xml:space="preserve">3. Los pain points son administrativos, no pedagógicos.  </w:t>
      </w:r>
    </w:p>
    <w:p>
      <w:pPr>
        <w:spacing w:before="0" w:after="160"/>
        <w:ind w:left="360"/>
      </w:pPr>
      <w:r>
        <w:rPr>
          <w:color w:val="6B7280"/>
          <w:sz w:val="19"/>
        </w:rPr>
        <w:t>El 80 % de las quejas registradas en reclamos.cl y el MTT son de gestión operativa. Esto hace que la solución tecnológica tenga ROI inmediato y demostrable.</w:t>
      </w:r>
    </w:p>
    <w:p>
      <w:pPr>
        <w:spacing w:after="40"/>
      </w:pPr>
      <w:r>
        <w:rPr>
          <w:b/>
          <w:color w:val="1A56DB"/>
          <w:sz w:val="20"/>
        </w:rPr>
        <w:t xml:space="preserve">4. LATAM es la región de mayor crecimiento potencial en software para autoescuelas.  </w:t>
      </w:r>
    </w:p>
    <w:p>
      <w:pPr>
        <w:spacing w:before="0" w:after="160"/>
        <w:ind w:left="360"/>
      </w:pPr>
      <w:r>
        <w:rPr>
          <w:color w:val="6B7280"/>
          <w:sz w:val="19"/>
        </w:rPr>
        <w:t>Con un mercado global proyectado de hasta USD 12,7 B para 2033 y LATAM en etapa naciente, la ventana para construir el líder regional está abierta.</w:t>
      </w:r>
    </w:p>
    <w:p>
      <w:pPr>
        <w:spacing w:after="40"/>
      </w:pPr>
      <w:r>
        <w:rPr>
          <w:b/>
          <w:color w:val="1A56DB"/>
          <w:sz w:val="20"/>
        </w:rPr>
        <w:t xml:space="preserve">5. La regulación es una barrera de entrada... y también una ventaja sostenible.  </w:t>
      </w:r>
    </w:p>
    <w:p>
      <w:pPr>
        <w:spacing w:before="0" w:after="160"/>
        <w:ind w:left="360"/>
      </w:pPr>
      <w:r>
        <w:rPr>
          <w:color w:val="6B7280"/>
          <w:sz w:val="19"/>
        </w:rPr>
        <w:t>Quien construya el software adaptado a CONASET/MTT/SEREMI primero, será difícil de desplazar: los clientes no cambiarán un sistema que ya sabe hablar su regulación.</w:t>
      </w:r>
    </w:p>
    <w:p>
      <w:pPr>
        <w:pStyle w:val="Heading2"/>
        <w:jc w:val="left"/>
      </w:pPr>
      <w:r>
        <w:rPr>
          <w:b/>
          <w:color w:val="1A56DB"/>
        </w:rPr>
        <w:t>7.2 Recomendaciones estratégicas</w:t>
      </w:r>
    </w:p>
    <w:p>
      <w:pPr>
        <w:pStyle w:val="ListBullet"/>
        <w:spacing w:after="120"/>
      </w:pPr>
      <w:r>
        <w:rPr>
          <w:b/>
          <w:sz w:val="20"/>
        </w:rPr>
        <w:t xml:space="preserve">Corto plazo (0–6 meses): </w:t>
      </w:r>
      <w:r>
        <w:rPr>
          <w:sz w:val="20"/>
        </w:rPr>
        <w:t>Testear AutoSchool.cl directamente (crear cuenta, evaluar UX, limitaciones). Paralelamente, validar con 3–5 escuelas de Concepción si pagarían por resolver sus 3 principales pain points. Identificar qué no cubre AutoSchool que el mercado regional sí necesita.</w:t>
      </w:r>
    </w:p>
    <w:p>
      <w:pPr>
        <w:pStyle w:val="ListBullet"/>
        <w:spacing w:after="120"/>
      </w:pPr>
      <w:r>
        <w:rPr>
          <w:b/>
          <w:sz w:val="20"/>
        </w:rPr>
        <w:t xml:space="preserve">Mediano plazo (6–18 meses): </w:t>
      </w:r>
      <w:r>
        <w:rPr>
          <w:sz w:val="20"/>
        </w:rPr>
        <w:t>Construir o adaptar MVP SaaS con: matrículas digitales, agenda de instructores/vehículos, control de horas MTT, pagos, libro de clase SEREMI y módulo Nexteo actualizado. Diferenciarse de AutoSchool.cl en localización regulatoria y presencia regional.</w:t>
      </w:r>
    </w:p>
    <w:p>
      <w:pPr>
        <w:pStyle w:val="ListBullet"/>
        <w:spacing w:after="120"/>
      </w:pPr>
      <w:r>
        <w:rPr>
          <w:b/>
          <w:sz w:val="20"/>
        </w:rPr>
        <w:t xml:space="preserve">Largo plazo (18–36 meses): </w:t>
      </w:r>
      <w:r>
        <w:rPr>
          <w:sz w:val="20"/>
        </w:rPr>
        <w:t>Consolidar Biobío y expandir a otras regiones (Araucanía, Los Lagos, Maule) antes de Santiago, donde AutoSchool.cl ya opera. Luego LATAM (Colombia, Perú, México tienen regulaciones similares sin un líder establecido).</w:t>
      </w:r>
    </w:p>
    <w:p>
      <w:pPr>
        <w:pStyle w:val="ListBullet"/>
        <w:spacing w:after="120"/>
      </w:pPr>
      <w:r>
        <w:rPr>
          <w:b/>
          <w:sz w:val="20"/>
        </w:rPr>
        <w:t xml:space="preserve">Diferenciación clave vs AutoSchool.cl: </w:t>
      </w:r>
      <w:r>
        <w:rPr>
          <w:sz w:val="20"/>
        </w:rPr>
        <w:t>Localización regulatoria profunda: libro de clase compatible con cada SEREMI regional, integración con examen Nexteo (banco de 1.000 preguntas actualizado), plantillas de contratos según la Ley de Tránsito chilena, y soporte presencial en regiones. AutoSchool.cl es un producto genérico; la ventaja es ser el especialista del sur.</w:t>
      </w:r>
    </w:p>
    <w:p/>
    <w:p>
      <w:pPr>
        <w:pBdr>
          <w:bottom w:val="single" w:sz="4" w:space="1" w:color="1A56DB"/>
        </w:pBdr>
        <w:spacing w:after="120" w:before="120"/>
      </w:pPr>
    </w:p>
    <w:p>
      <w:pPr>
        <w:spacing w:after="80" w:before="40"/>
      </w:pPr>
      <w:r>
        <w:rPr>
          <w:b w:val="0"/>
          <w:i/>
          <w:color w:val="6B7280"/>
          <w:sz w:val="16"/>
        </w:rPr>
        <w:t>Este análisis fue generado mediante investigación web el 29 de May de 2026. Las cifras de mercado provienen de fuentes públicas (INE, CONASET, MTT, reclamos.cl, Verified Market Reports, MarkWide Research). Las estimaciones de TAM son proyecciones propias basadas en datos disponibles y deben validarse con investigación primaria.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