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DATA-DRIVEN ML FRAMEWORK</w:t>
      </w:r>
    </w:p>
    <w:p>
      <w:pPr>
        <w:pStyle w:val="Heading2"/>
        <w:jc w:val="center"/>
      </w:pPr>
      <w:r>
        <w:t>FOR PIEZOELECTRIC MORPHING WINGS</w:t>
      </w:r>
    </w:p>
    <w:p/>
    <w:p>
      <w:pPr>
        <w:jc w:val="center"/>
      </w:pPr>
      <w:r>
        <w:rPr>
          <w:sz w:val="28"/>
        </w:rPr>
        <w:t>Comprehensive Technical Report with Figures</w:t>
        <w:br/>
        <w:t>IDP Phase 2 — RV College of Engineering</w:t>
        <w:br/>
        <w:t>Machine Learning Component</w:t>
      </w:r>
    </w:p>
    <w:p/>
    <w:p/>
    <w:p>
      <w:pPr>
        <w:jc w:val="center"/>
      </w:pPr>
      <w:r>
        <w:t>Report Generated: June 24, 2026</w:t>
      </w:r>
    </w:p>
    <w:p>
      <w:r>
        <w:br w:type="page"/>
      </w:r>
    </w:p>
    <w:p>
      <w:pPr>
        <w:pStyle w:val="Heading1"/>
      </w:pPr>
      <w:r>
        <w:rPr>
          <w:color w:val="1F4E79"/>
        </w:rPr>
        <w:t>1. EXECUTIVE SUMMARY</w:t>
      </w:r>
    </w:p>
    <w:p>
      <w:r>
        <w:rPr>
          <w:sz w:val="22"/>
        </w:rPr>
        <w:t xml:space="preserve">This report details the complete machine learning framework for aerodynamic and structural </w:t>
        <w:br/>
        <w:t xml:space="preserve">surrogate modeling of a piezoelectric morphing NACA 0009 wing. The framework consists of two </w:t>
        <w:br/>
        <w:t>coupled surrogates:</w:t>
        <w:br/>
        <w:br/>
        <w:t>• Structural: MFC voltages (V_lower, V_upper) → Trailing-edge deflection (mm)</w:t>
        <w:br/>
        <w:t>• Aerodynamic: Deflection + pitch angle → Lift (CL) and drag (CD) coefficients</w:t>
        <w:br/>
        <w:br/>
        <w:t xml:space="preserve">The models are trained on 300 ANSYS structural simulations and 201 CFD aerodynamic points. </w:t>
        <w:br/>
        <w:t xml:space="preserve">Physics-consistent synthetic data augmentation (7,797 rows) improves aerodynamic predictions </w:t>
        <w:br/>
        <w:t>when the models are retrained.</w:t>
      </w:r>
    </w:p>
    <w:p/>
    <w:p>
      <w:pPr>
        <w:pStyle w:val="Heading3"/>
      </w:pPr>
      <w:r>
        <w:rPr>
          <w:color w:val="1F4E79"/>
        </w:rPr>
        <w:t>Key Results:</w:t>
      </w:r>
    </w:p>
    <w:p>
      <w:pPr>
        <w:pStyle w:val="ListBullet"/>
      </w:pPr>
      <w:r>
        <w:t>Structural Surrogate (Linear Regression): R² = 0.999998, MAE = 0.00164 mm</w:t>
      </w:r>
    </w:p>
    <w:p>
      <w:pPr>
        <w:pStyle w:val="ListBullet"/>
      </w:pPr>
      <w:r>
        <w:t>Aerodynamic Surrogate (MLP on augmented data): CL: MAE = 0.0022 (R² = 0.998), CD: MAE = 0.0021 (R² = 0.991)</w:t>
      </w:r>
    </w:p>
    <w:p>
      <w:pPr>
        <w:pStyle w:val="ListBullet"/>
      </w:pPr>
      <w:r>
        <w:t>Full Chained Pipeline: CL MAE = 0.0022, CD MAE = 0.0021 on 201 real CFD points</w:t>
      </w:r>
    </w:p>
    <w:p>
      <w:pPr>
        <w:pStyle w:val="ListBullet"/>
      </w:pPr>
      <w:r>
        <w:t>Inverse Control: Grid search + continuous refinement → recommended voltages for target lift</w:t>
      </w:r>
    </w:p>
    <w:p>
      <w:r>
        <w:br w:type="page"/>
      </w:r>
    </w:p>
    <w:p>
      <w:pPr>
        <w:pStyle w:val="Heading1"/>
      </w:pPr>
      <w:r>
        <w:rPr>
          <w:color w:val="1F4E79"/>
        </w:rPr>
        <w:t>2. METHODOLOGY &amp; FRAMEWORK OVERVIEW</w:t>
      </w:r>
    </w:p>
    <w:p>
      <w:pPr>
        <w:pStyle w:val="Heading2"/>
      </w:pPr>
      <w:r>
        <w:rPr>
          <w:color w:val="1F4E79"/>
        </w:rPr>
        <w:t>2.1 System Architecture</w:t>
      </w:r>
    </w:p>
    <w:p>
      <w:pPr>
        <w:jc w:val="center"/>
      </w:pPr>
      <w:r>
        <w:drawing>
          <wp:inline xmlns:a="http://schemas.openxmlformats.org/drawingml/2006/main" xmlns:pic="http://schemas.openxmlformats.org/drawingml/2006/picture">
            <wp:extent cx="5943600" cy="1511678"/>
            <wp:docPr id="1" name="Picture 1"/>
            <wp:cNvGraphicFramePr>
              <a:graphicFrameLocks noChangeAspect="1"/>
            </wp:cNvGraphicFramePr>
            <a:graphic>
              <a:graphicData uri="http://schemas.openxmlformats.org/drawingml/2006/picture">
                <pic:pic>
                  <pic:nvPicPr>
                    <pic:cNvPr id="0" name="fig01_pipeline_schematic.png"/>
                    <pic:cNvPicPr/>
                  </pic:nvPicPr>
                  <pic:blipFill>
                    <a:blip r:embed="rId9"/>
                    <a:stretch>
                      <a:fillRect/>
                    </a:stretch>
                  </pic:blipFill>
                  <pic:spPr>
                    <a:xfrm>
                      <a:off x="0" y="0"/>
                      <a:ext cx="5943600" cy="1511678"/>
                    </a:xfrm>
                    <a:prstGeom prst="rect"/>
                  </pic:spPr>
                </pic:pic>
              </a:graphicData>
            </a:graphic>
          </wp:inline>
        </w:drawing>
      </w:r>
    </w:p>
    <w:p>
      <w:pPr>
        <w:jc w:val="center"/>
      </w:pPr>
      <w:r>
        <w:rPr>
          <w:i/>
          <w:sz w:val="20"/>
        </w:rPr>
        <w:t>Figure 1: End-to-end surrogate modelling pipeline. MFC voltages feed the structural model to predict deflection, which then feeds the aerodynamic model (along with pitch angle) to predict lift and drag coefficients.</w:t>
      </w:r>
    </w:p>
    <w:p/>
    <w:p>
      <w:r>
        <w:rPr>
          <w:sz w:val="22"/>
        </w:rPr>
        <w:t>The framework operates in two stages: (1) Structural mapping from actuator voltages to wing deflection, (2) Aerodynamic mapping from morphed shape and pitch angle to aerodynamic coefficients. This decomposition matches the physical causal chain and enables independent model validation.</w:t>
      </w:r>
    </w:p>
    <w:p>
      <w:r>
        <w:br w:type="page"/>
      </w:r>
    </w:p>
    <w:p>
      <w:pPr>
        <w:pStyle w:val="Heading2"/>
      </w:pPr>
      <w:r>
        <w:rPr>
          <w:color w:val="1F4E79"/>
        </w:rPr>
        <w:t>2.2 Data Sources</w:t>
      </w:r>
    </w:p>
    <w:p>
      <w:pPr>
        <w:pStyle w:val="Heading3"/>
      </w:pPr>
      <w:r>
        <w:rPr>
          <w:color w:val="1F4E79"/>
        </w:rPr>
        <w:t>2.2.1 Structural Data (ANSYS FEA)</w:t>
      </w:r>
    </w:p>
    <w:p>
      <w:r>
        <w:rPr>
          <w:sz w:val="22"/>
        </w:rPr>
        <w:t>Source: Structure samples.xlsx (300 rows)</w:t>
        <w:br/>
        <w:t xml:space="preserve">    Coverage: 10 lower MFC voltages × 30 upper MFC voltages (full grid)</w:t>
        <w:br/>
        <w:t xml:space="preserve">    Input range: Lower V ∈ [−500, −50] V (step 50 V); Upper V ∈ [50, 1500] V (step 50 V)</w:t>
        <w:br/>
        <w:t xml:space="preserve">    Output: Trailing-edge deflection (mm), range [−8.47, −0.37] mm</w:t>
      </w:r>
    </w:p>
    <w:p>
      <w:pPr>
        <w:pStyle w:val="Heading3"/>
      </w:pPr>
      <w:r>
        <w:rPr>
          <w:color w:val="1F4E79"/>
        </w:rPr>
        <w:t>2.2.2 Aerodynamic Data (ANSYS Fluent CFD)</w:t>
      </w:r>
    </w:p>
    <w:p>
      <w:r>
        <w:rPr>
          <w:sz w:val="22"/>
        </w:rPr>
        <w:t>Source: C_L C_D Values - Sheet1.csv (201 rows)</w:t>
        <w:br/>
        <w:t xml:space="preserve">    Design points: 7 pitch angles × 3 upper voltages × multiple lower voltages</w:t>
        <w:br/>
        <w:t xml:space="preserve">    Pitch angles: −4°, 0°, 4°, 8°, 12°, 16°, 20° (7 values)</w:t>
        <w:br/>
        <w:t xml:space="preserve">    Upper voltages: 50 V, 750 V, 1500 V (discrete levels)</w:t>
        <w:br/>
        <w:t xml:space="preserve">    Output: CL ∈ [0.00408, 0.3079], CD ∈ [0.01311, 0.13997]</w:t>
        <w:br/>
        <w:t xml:space="preserve">    Note: Sparse in voltage space; synthetic augmentation fills gaps</w:t>
      </w:r>
    </w:p>
    <w:p>
      <w:pPr>
        <w:jc w:val="center"/>
      </w:pPr>
      <w:r>
        <w:drawing>
          <wp:inline xmlns:a="http://schemas.openxmlformats.org/drawingml/2006/main" xmlns:pic="http://schemas.openxmlformats.org/drawingml/2006/picture">
            <wp:extent cx="5943600" cy="2546557"/>
            <wp:docPr id="2" name="Picture 2"/>
            <wp:cNvGraphicFramePr>
              <a:graphicFrameLocks noChangeAspect="1"/>
            </wp:cNvGraphicFramePr>
            <a:graphic>
              <a:graphicData uri="http://schemas.openxmlformats.org/drawingml/2006/picture">
                <pic:pic>
                  <pic:nvPicPr>
                    <pic:cNvPr id="0" name="fig10_data_coverage.png"/>
                    <pic:cNvPicPr/>
                  </pic:nvPicPr>
                  <pic:blipFill>
                    <a:blip r:embed="rId10"/>
                    <a:stretch>
                      <a:fillRect/>
                    </a:stretch>
                  </pic:blipFill>
                  <pic:spPr>
                    <a:xfrm>
                      <a:off x="0" y="0"/>
                      <a:ext cx="5943600" cy="2546557"/>
                    </a:xfrm>
                    <a:prstGeom prst="rect"/>
                  </pic:spPr>
                </pic:pic>
              </a:graphicData>
            </a:graphic>
          </wp:inline>
        </w:drawing>
      </w:r>
    </w:p>
    <w:p>
      <w:pPr>
        <w:jc w:val="center"/>
      </w:pPr>
      <w:r>
        <w:rPr>
          <w:i/>
          <w:sz w:val="20"/>
        </w:rPr>
        <w:t>Figure 2: Data coverage in parameter space. (a) Structural data: Full 10×30 grid in voltage space. (b) Aerodynamic data: Sparse coverage at only 3 upper voltage levels across 7 pitch angles.</w:t>
      </w:r>
    </w:p>
    <w:p>
      <w:r>
        <w:br w:type="page"/>
      </w:r>
    </w:p>
    <w:p>
      <w:pPr>
        <w:pStyle w:val="Heading1"/>
      </w:pPr>
      <w:r>
        <w:rPr>
          <w:color w:val="1F4E79"/>
        </w:rPr>
        <w:t>3. STRUCTURAL SURROGATE RESULTS</w:t>
      </w:r>
    </w:p>
    <w:p>
      <w:pPr>
        <w:pStyle w:val="Heading2"/>
      </w:pPr>
      <w:r>
        <w:rPr>
          <w:color w:val="1F4E79"/>
        </w:rPr>
        <w:t>3.1 Model Selection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3D3D3"/>
          </w:tcPr>
          <w:p>
            <w:r>
              <w:t>Model</w:t>
            </w:r>
          </w:p>
        </w:tc>
        <w:tc>
          <w:tcPr>
            <w:tcW w:type="dxa" w:w="1728"/>
            <w:shd w:fill="D3D3D3"/>
          </w:tcPr>
          <w:p>
            <w:r>
              <w:t>MAE (mm)</w:t>
            </w:r>
          </w:p>
        </w:tc>
        <w:tc>
          <w:tcPr>
            <w:tcW w:type="dxa" w:w="1728"/>
            <w:shd w:fill="D3D3D3"/>
          </w:tcPr>
          <w:p>
            <w:r>
              <w:t>RMSE (mm)</w:t>
            </w:r>
          </w:p>
        </w:tc>
        <w:tc>
          <w:tcPr>
            <w:tcW w:type="dxa" w:w="1728"/>
            <w:shd w:fill="D3D3D3"/>
          </w:tcPr>
          <w:p>
            <w:r>
              <w:t>R²</w:t>
            </w:r>
          </w:p>
        </w:tc>
        <w:tc>
          <w:tcPr>
            <w:tcW w:type="dxa" w:w="1728"/>
            <w:shd w:fill="D3D3D3"/>
          </w:tcPr>
          <w:p>
            <w:r>
              <w:t>Status</w:t>
            </w:r>
          </w:p>
        </w:tc>
      </w:tr>
      <w:tr>
        <w:tc>
          <w:tcPr>
            <w:tcW w:type="dxa" w:w="1728"/>
          </w:tcPr>
          <w:p>
            <w:r>
              <w:t>Linear Regression</w:t>
            </w:r>
          </w:p>
        </w:tc>
        <w:tc>
          <w:tcPr>
            <w:tcW w:type="dxa" w:w="1728"/>
          </w:tcPr>
          <w:p>
            <w:r>
              <w:t>0.00164</w:t>
            </w:r>
          </w:p>
        </w:tc>
        <w:tc>
          <w:tcPr>
            <w:tcW w:type="dxa" w:w="1728"/>
          </w:tcPr>
          <w:p>
            <w:r>
              <w:t>0.00294</w:t>
            </w:r>
          </w:p>
        </w:tc>
        <w:tc>
          <w:tcPr>
            <w:tcW w:type="dxa" w:w="1728"/>
          </w:tcPr>
          <w:p>
            <w:r>
              <w:t>0.999998</w:t>
            </w:r>
          </w:p>
        </w:tc>
        <w:tc>
          <w:tcPr>
            <w:tcW w:type="dxa" w:w="1728"/>
          </w:tcPr>
          <w:p>
            <w:r>
              <w:t>Selected ✓</w:t>
            </w:r>
          </w:p>
        </w:tc>
      </w:tr>
      <w:tr>
        <w:tc>
          <w:tcPr>
            <w:tcW w:type="dxa" w:w="1728"/>
          </w:tcPr>
          <w:p>
            <w:r>
              <w:t>MLP Regressor</w:t>
            </w:r>
          </w:p>
        </w:tc>
        <w:tc>
          <w:tcPr>
            <w:tcW w:type="dxa" w:w="1728"/>
          </w:tcPr>
          <w:p>
            <w:r>
              <w:t>0.05838</w:t>
            </w:r>
          </w:p>
        </w:tc>
        <w:tc>
          <w:tcPr>
            <w:tcW w:type="dxa" w:w="1728"/>
          </w:tcPr>
          <w:p>
            <w:r>
              <w:t>0.07143</w:t>
            </w:r>
          </w:p>
        </w:tc>
        <w:tc>
          <w:tcPr>
            <w:tcW w:type="dxa" w:w="1728"/>
          </w:tcPr>
          <w:p>
            <w:r>
              <w:t>0.99882</w:t>
            </w:r>
          </w:p>
        </w:tc>
        <w:tc>
          <w:tcPr>
            <w:tcW w:type="dxa" w:w="1728"/>
          </w:tcPr>
          <w:p>
            <w:r>
              <w:t>—</w:t>
            </w:r>
          </w:p>
        </w:tc>
      </w:tr>
    </w:tbl>
    <w:p>
      <w:r>
        <w:rPr>
          <w:sz w:val="22"/>
        </w:rPr>
        <w:t>Linear Regression is selected for its superior performance and physical appropriateness. The electromechanical relationship is fundamentally linear, confirming the simple model's validity.</w:t>
      </w:r>
    </w:p>
    <w:p>
      <w:pPr>
        <w:jc w:val="center"/>
      </w:pPr>
      <w:r>
        <w:drawing>
          <wp:inline xmlns:a="http://schemas.openxmlformats.org/drawingml/2006/main" xmlns:pic="http://schemas.openxmlformats.org/drawingml/2006/picture">
            <wp:extent cx="5943600" cy="3458095"/>
            <wp:docPr id="3" name="Picture 3"/>
            <wp:cNvGraphicFramePr>
              <a:graphicFrameLocks noChangeAspect="1"/>
            </wp:cNvGraphicFramePr>
            <a:graphic>
              <a:graphicData uri="http://schemas.openxmlformats.org/drawingml/2006/picture">
                <pic:pic>
                  <pic:nvPicPr>
                    <pic:cNvPr id="0" name="fig02_structural_validation.png"/>
                    <pic:cNvPicPr/>
                  </pic:nvPicPr>
                  <pic:blipFill>
                    <a:blip r:embed="rId11"/>
                    <a:stretch>
                      <a:fillRect/>
                    </a:stretch>
                  </pic:blipFill>
                  <pic:spPr>
                    <a:xfrm>
                      <a:off x="0" y="0"/>
                      <a:ext cx="5943600" cy="3458095"/>
                    </a:xfrm>
                    <a:prstGeom prst="rect"/>
                  </pic:spPr>
                </pic:pic>
              </a:graphicData>
            </a:graphic>
          </wp:inline>
        </w:drawing>
      </w:r>
    </w:p>
    <w:p>
      <w:pPr>
        <w:jc w:val="center"/>
      </w:pPr>
      <w:r>
        <w:rPr>
          <w:i/>
          <w:sz w:val="20"/>
        </w:rPr>
        <w:t>Figure 3: Structural surrogate validation. Left: Parity plot showing predicted vs. actual deflection for all 300 samples. Right: Histogram of residuals centered at zero (unbiased).</w:t>
      </w:r>
    </w:p>
    <w:p/>
    <w:p>
      <w:pPr>
        <w:jc w:val="center"/>
      </w:pPr>
      <w:r>
        <w:drawing>
          <wp:inline xmlns:a="http://schemas.openxmlformats.org/drawingml/2006/main" xmlns:pic="http://schemas.openxmlformats.org/drawingml/2006/picture">
            <wp:extent cx="5943600" cy="5528378"/>
            <wp:docPr id="4" name="Picture 4"/>
            <wp:cNvGraphicFramePr>
              <a:graphicFrameLocks noChangeAspect="1"/>
            </wp:cNvGraphicFramePr>
            <a:graphic>
              <a:graphicData uri="http://schemas.openxmlformats.org/drawingml/2006/picture">
                <pic:pic>
                  <pic:nvPicPr>
                    <pic:cNvPr id="0" name="fig03_deflection_response.png"/>
                    <pic:cNvPicPr/>
                  </pic:nvPicPr>
                  <pic:blipFill>
                    <a:blip r:embed="rId12"/>
                    <a:stretch>
                      <a:fillRect/>
                    </a:stretch>
                  </pic:blipFill>
                  <pic:spPr>
                    <a:xfrm>
                      <a:off x="0" y="0"/>
                      <a:ext cx="5943600" cy="5528378"/>
                    </a:xfrm>
                    <a:prstGeom prst="rect"/>
                  </pic:spPr>
                </pic:pic>
              </a:graphicData>
            </a:graphic>
          </wp:inline>
        </w:drawing>
      </w:r>
    </w:p>
    <w:p>
      <w:pPr>
        <w:jc w:val="center"/>
      </w:pPr>
      <w:r>
        <w:rPr>
          <w:i/>
          <w:sz w:val="20"/>
        </w:rPr>
        <w:t>Figure 4: Trailing-edge deflection as a function of upper MFC voltage for four fixed lower voltages. Solid/dashed lines show surrogate predictions; scatter points show ANSYS data.</w:t>
      </w:r>
    </w:p>
    <w:p>
      <w:r>
        <w:br w:type="page"/>
      </w:r>
    </w:p>
    <w:p>
      <w:pPr>
        <w:pStyle w:val="Heading1"/>
      </w:pPr>
      <w:r>
        <w:rPr>
          <w:color w:val="1F4E79"/>
        </w:rPr>
        <w:t>4. AERODYNAMIC SURROGATE RESULTS</w:t>
      </w:r>
    </w:p>
    <w:p>
      <w:pPr>
        <w:pStyle w:val="Heading2"/>
      </w:pPr>
      <w:r>
        <w:rPr>
          <w:color w:val="1F4E79"/>
        </w:rPr>
        <w:t>4.1 Original vs. Augmented Comparison</w:t>
      </w:r>
    </w:p>
    <w:p>
      <w:r>
        <w:t>Original Data (201 CFD points):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3D3D3"/>
          </w:tcPr>
          <w:p>
            <w:r>
              <w:t>Model</w:t>
            </w:r>
          </w:p>
        </w:tc>
        <w:tc>
          <w:tcPr>
            <w:tcW w:type="dxa" w:w="1728"/>
            <w:shd w:fill="D3D3D3"/>
          </w:tcPr>
          <w:p>
            <w:r>
              <w:t>CL MAE</w:t>
            </w:r>
          </w:p>
        </w:tc>
        <w:tc>
          <w:tcPr>
            <w:tcW w:type="dxa" w:w="1728"/>
            <w:shd w:fill="D3D3D3"/>
          </w:tcPr>
          <w:p>
            <w:r>
              <w:t>CL R²</w:t>
            </w:r>
          </w:p>
        </w:tc>
        <w:tc>
          <w:tcPr>
            <w:tcW w:type="dxa" w:w="1728"/>
            <w:shd w:fill="D3D3D3"/>
          </w:tcPr>
          <w:p>
            <w:r>
              <w:t>CD MAE</w:t>
            </w:r>
          </w:p>
        </w:tc>
        <w:tc>
          <w:tcPr>
            <w:tcW w:type="dxa" w:w="1728"/>
            <w:shd w:fill="D3D3D3"/>
          </w:tcPr>
          <w:p>
            <w:r>
              <w:t>CD R²</w:t>
            </w:r>
          </w:p>
        </w:tc>
      </w:tr>
      <w:tr>
        <w:tc>
          <w:tcPr>
            <w:tcW w:type="dxa" w:w="1728"/>
          </w:tcPr>
          <w:p>
            <w:r>
              <w:t>Linear Regression</w:t>
            </w:r>
          </w:p>
        </w:tc>
        <w:tc>
          <w:tcPr>
            <w:tcW w:type="dxa" w:w="1728"/>
          </w:tcPr>
          <w:p>
            <w:r>
              <w:t>0.00591</w:t>
            </w:r>
          </w:p>
        </w:tc>
        <w:tc>
          <w:tcPr>
            <w:tcW w:type="dxa" w:w="1728"/>
          </w:tcPr>
          <w:p>
            <w:r>
              <w:t>0.981</w:t>
            </w:r>
          </w:p>
        </w:tc>
        <w:tc>
          <w:tcPr>
            <w:tcW w:type="dxa" w:w="1728"/>
          </w:tcPr>
          <w:p>
            <w:r>
              <w:t>0.00956</w:t>
            </w:r>
          </w:p>
        </w:tc>
        <w:tc>
          <w:tcPr>
            <w:tcW w:type="dxa" w:w="1728"/>
          </w:tcPr>
          <w:p>
            <w:r>
              <w:t>0.828</w:t>
            </w:r>
          </w:p>
        </w:tc>
      </w:tr>
      <w:tr>
        <w:tc>
          <w:tcPr>
            <w:tcW w:type="dxa" w:w="1728"/>
          </w:tcPr>
          <w:p>
            <w:r>
              <w:t>MLP Regressor</w:t>
            </w:r>
          </w:p>
        </w:tc>
        <w:tc>
          <w:tcPr>
            <w:tcW w:type="dxa" w:w="1728"/>
          </w:tcPr>
          <w:p>
            <w:r>
              <w:t>0.01014</w:t>
            </w:r>
          </w:p>
        </w:tc>
        <w:tc>
          <w:tcPr>
            <w:tcW w:type="dxa" w:w="1728"/>
          </w:tcPr>
          <w:p>
            <w:r>
              <w:t>0.956</w:t>
            </w:r>
          </w:p>
        </w:tc>
        <w:tc>
          <w:tcPr>
            <w:tcW w:type="dxa" w:w="1728"/>
          </w:tcPr>
          <w:p>
            <w:r>
              <w:t>0.01066</w:t>
            </w:r>
          </w:p>
        </w:tc>
        <w:tc>
          <w:tcPr>
            <w:tcW w:type="dxa" w:w="1728"/>
          </w:tcPr>
          <w:p>
            <w:r>
              <w:t>0.700</w:t>
            </w:r>
          </w:p>
        </w:tc>
      </w:tr>
    </w:tbl>
    <w:p/>
    <w:p>
      <w:r>
        <w:t>Augmented Data (retrained on 8,000 rows, tested on 40 real CFD points):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D3D3D3"/>
          </w:tcPr>
          <w:p>
            <w:r>
              <w:t>Model</w:t>
            </w:r>
          </w:p>
        </w:tc>
        <w:tc>
          <w:tcPr>
            <w:tcW w:type="dxa" w:w="1440"/>
            <w:shd w:fill="D3D3D3"/>
          </w:tcPr>
          <w:p>
            <w:r>
              <w:t>CL MAE</w:t>
            </w:r>
          </w:p>
        </w:tc>
        <w:tc>
          <w:tcPr>
            <w:tcW w:type="dxa" w:w="1440"/>
            <w:shd w:fill="D3D3D3"/>
          </w:tcPr>
          <w:p>
            <w:r>
              <w:t>CL R²</w:t>
            </w:r>
          </w:p>
        </w:tc>
        <w:tc>
          <w:tcPr>
            <w:tcW w:type="dxa" w:w="1440"/>
            <w:shd w:fill="D3D3D3"/>
          </w:tcPr>
          <w:p>
            <w:r>
              <w:t>CD MAE</w:t>
            </w:r>
          </w:p>
        </w:tc>
        <w:tc>
          <w:tcPr>
            <w:tcW w:type="dxa" w:w="1440"/>
            <w:shd w:fill="D3D3D3"/>
          </w:tcPr>
          <w:p>
            <w:r>
              <w:t>CD R²</w:t>
            </w:r>
          </w:p>
        </w:tc>
        <w:tc>
          <w:tcPr>
            <w:tcW w:type="dxa" w:w="1440"/>
            <w:shd w:fill="D3D3D3"/>
          </w:tcPr>
          <w:p>
            <w:r>
              <w:t>Status</w:t>
            </w:r>
          </w:p>
        </w:tc>
      </w:tr>
      <w:tr>
        <w:tc>
          <w:tcPr>
            <w:tcW w:type="dxa" w:w="1440"/>
          </w:tcPr>
          <w:p>
            <w:r>
              <w:t>Linear Regression</w:t>
            </w:r>
          </w:p>
        </w:tc>
        <w:tc>
          <w:tcPr>
            <w:tcW w:type="dxa" w:w="1440"/>
          </w:tcPr>
          <w:p>
            <w:r>
              <w:t>0.00529</w:t>
            </w:r>
          </w:p>
        </w:tc>
        <w:tc>
          <w:tcPr>
            <w:tcW w:type="dxa" w:w="1440"/>
          </w:tcPr>
          <w:p>
            <w:r>
              <w:t>0.991</w:t>
            </w:r>
          </w:p>
        </w:tc>
        <w:tc>
          <w:tcPr>
            <w:tcW w:type="dxa" w:w="1440"/>
          </w:tcPr>
          <w:p>
            <w:r>
              <w:t>0.00952</w:t>
            </w:r>
          </w:p>
        </w:tc>
        <w:tc>
          <w:tcPr>
            <w:tcW w:type="dxa" w:w="1440"/>
          </w:tcPr>
          <w:p>
            <w:r>
              <w:t>0.860</w:t>
            </w:r>
          </w:p>
        </w:tc>
        <w:tc>
          <w:tcPr>
            <w:tcW w:type="dxa" w:w="1440"/>
          </w:tcPr>
          <w:p/>
        </w:tc>
      </w:tr>
      <w:tr>
        <w:tc>
          <w:tcPr>
            <w:tcW w:type="dxa" w:w="1440"/>
          </w:tcPr>
          <w:p>
            <w:r>
              <w:t>MLP Regressor</w:t>
            </w:r>
          </w:p>
        </w:tc>
        <w:tc>
          <w:tcPr>
            <w:tcW w:type="dxa" w:w="1440"/>
          </w:tcPr>
          <w:p>
            <w:r>
              <w:t>0.00222</w:t>
            </w:r>
          </w:p>
        </w:tc>
        <w:tc>
          <w:tcPr>
            <w:tcW w:type="dxa" w:w="1440"/>
          </w:tcPr>
          <w:p>
            <w:r>
              <w:t>0.998</w:t>
            </w:r>
          </w:p>
        </w:tc>
        <w:tc>
          <w:tcPr>
            <w:tcW w:type="dxa" w:w="1440"/>
          </w:tcPr>
          <w:p>
            <w:r>
              <w:t>0.00209</w:t>
            </w:r>
          </w:p>
        </w:tc>
        <w:tc>
          <w:tcPr>
            <w:tcW w:type="dxa" w:w="1440"/>
          </w:tcPr>
          <w:p>
            <w:r>
              <w:t>0.991</w:t>
            </w:r>
          </w:p>
        </w:tc>
        <w:tc>
          <w:tcPr>
            <w:tcW w:type="dxa" w:w="1440"/>
          </w:tcPr>
          <w:p>
            <w:r>
              <w:t>Selected ✓</w:t>
            </w:r>
          </w:p>
        </w:tc>
      </w:tr>
    </w:tbl>
    <w:p>
      <w:r>
        <w:rPr>
          <w:sz w:val="22"/>
        </w:rPr>
        <w:t>Synthetic augmentation dramatically improves MLP: CD R² increases from 0.70 to 0.99 (41% reduction in error). The denser training grid helps the network learn nonlinear aerodynamic effects across a broader deflection range.</w:t>
      </w:r>
    </w:p>
    <w:p>
      <w:pPr>
        <w:jc w:val="center"/>
      </w:pPr>
      <w:r>
        <w:drawing>
          <wp:inline xmlns:a="http://schemas.openxmlformats.org/drawingml/2006/main" xmlns:pic="http://schemas.openxmlformats.org/drawingml/2006/picture">
            <wp:extent cx="5943600" cy="3414751"/>
            <wp:docPr id="5" name="Picture 5"/>
            <wp:cNvGraphicFramePr>
              <a:graphicFrameLocks noChangeAspect="1"/>
            </wp:cNvGraphicFramePr>
            <a:graphic>
              <a:graphicData uri="http://schemas.openxmlformats.org/drawingml/2006/picture">
                <pic:pic>
                  <pic:nvPicPr>
                    <pic:cNvPr id="0" name="fig04b_aerodynamic_mlp.png"/>
                    <pic:cNvPicPr/>
                  </pic:nvPicPr>
                  <pic:blipFill>
                    <a:blip r:embed="rId13"/>
                    <a:stretch>
                      <a:fillRect/>
                    </a:stretch>
                  </pic:blipFill>
                  <pic:spPr>
                    <a:xfrm>
                      <a:off x="0" y="0"/>
                      <a:ext cx="5943600" cy="3414751"/>
                    </a:xfrm>
                    <a:prstGeom prst="rect"/>
                  </pic:spPr>
                </pic:pic>
              </a:graphicData>
            </a:graphic>
          </wp:inline>
        </w:drawing>
      </w:r>
    </w:p>
    <w:p>
      <w:pPr>
        <w:jc w:val="center"/>
      </w:pPr>
      <w:r>
        <w:rPr>
          <w:i/>
          <w:sz w:val="20"/>
        </w:rPr>
        <w:t>Figure 5: Selected aerodynamic MLP surrogate parity plots. (a) CL predictions: MAE = 0.0022, R² = 0.998. (b) CD predictions: MAE = 0.0021, R² = 0.991.</w:t>
      </w:r>
    </w:p>
    <w:p>
      <w:r>
        <w:br w:type="page"/>
      </w:r>
    </w:p>
    <w:p>
      <w:pPr>
        <w:pStyle w:val="Heading1"/>
      </w:pPr>
      <w:r>
        <w:rPr>
          <w:color w:val="1F4E79"/>
        </w:rPr>
        <w:t>5. INTEGRATED CHAINED FRAMEWORK</w:t>
      </w:r>
    </w:p>
    <w:p>
      <w:pPr>
        <w:pStyle w:val="Heading2"/>
      </w:pPr>
      <w:r>
        <w:rPr>
          <w:color w:val="1F4E79"/>
        </w:rPr>
        <w:t>5.1 Full-Pipeline Performance</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Configuration</w:t>
            </w:r>
          </w:p>
        </w:tc>
        <w:tc>
          <w:tcPr>
            <w:tcW w:type="dxa" w:w="2880"/>
            <w:shd w:fill="D3D3D3"/>
          </w:tcPr>
          <w:p>
            <w:r>
              <w:t>CL MAE</w:t>
            </w:r>
          </w:p>
        </w:tc>
        <w:tc>
          <w:tcPr>
            <w:tcW w:type="dxa" w:w="2880"/>
            <w:shd w:fill="D3D3D3"/>
          </w:tcPr>
          <w:p>
            <w:r>
              <w:t>CD MAE</w:t>
            </w:r>
          </w:p>
        </w:tc>
      </w:tr>
      <w:tr>
        <w:tc>
          <w:tcPr>
            <w:tcW w:type="dxa" w:w="2880"/>
          </w:tcPr>
          <w:p>
            <w:r>
              <w:t>Linear chain</w:t>
              <w:br/>
              <w:t>(Struct Linear + Aero Linear)</w:t>
            </w:r>
          </w:p>
        </w:tc>
        <w:tc>
          <w:tcPr>
            <w:tcW w:type="dxa" w:w="2880"/>
          </w:tcPr>
          <w:p>
            <w:r>
              <w:t>0.00502</w:t>
            </w:r>
          </w:p>
        </w:tc>
        <w:tc>
          <w:tcPr>
            <w:tcW w:type="dxa" w:w="2880"/>
          </w:tcPr>
          <w:p>
            <w:r>
              <w:t>0.00927</w:t>
            </w:r>
          </w:p>
        </w:tc>
      </w:tr>
      <w:tr>
        <w:tc>
          <w:tcPr>
            <w:tcW w:type="dxa" w:w="2880"/>
          </w:tcPr>
          <w:p>
            <w:r>
              <w:t>MLP chain (Selected)</w:t>
              <w:br/>
              <w:t>(Struct Linear + Aero MLP)</w:t>
            </w:r>
          </w:p>
        </w:tc>
        <w:tc>
          <w:tcPr>
            <w:tcW w:type="dxa" w:w="2880"/>
          </w:tcPr>
          <w:p>
            <w:r>
              <w:t>0.00222</w:t>
            </w:r>
          </w:p>
        </w:tc>
        <w:tc>
          <w:tcPr>
            <w:tcW w:type="dxa" w:w="2880"/>
          </w:tcPr>
          <w:p>
            <w:r>
              <w:t>0.00211</w:t>
            </w:r>
          </w:p>
        </w:tc>
      </w:tr>
    </w:tbl>
    <w:p>
      <w:r>
        <w:rPr>
          <w:sz w:val="22"/>
        </w:rPr>
        <w:t>The chained MLP configuration achieves superior end-to-end accuracy, with both CL and CD errors under 0.0025 across all 201 CFD validation points.</w:t>
      </w:r>
    </w:p>
    <w:p>
      <w:pPr>
        <w:jc w:val="center"/>
      </w:pPr>
      <w:r>
        <w:drawing>
          <wp:inline xmlns:a="http://schemas.openxmlformats.org/drawingml/2006/main" xmlns:pic="http://schemas.openxmlformats.org/drawingml/2006/picture">
            <wp:extent cx="5943600" cy="5999393"/>
            <wp:docPr id="6" name="Picture 6"/>
            <wp:cNvGraphicFramePr>
              <a:graphicFrameLocks noChangeAspect="1"/>
            </wp:cNvGraphicFramePr>
            <a:graphic>
              <a:graphicData uri="http://schemas.openxmlformats.org/drawingml/2006/picture">
                <pic:pic>
                  <pic:nvPicPr>
                    <pic:cNvPr id="0" name="fig05_chain_comparison.png"/>
                    <pic:cNvPicPr/>
                  </pic:nvPicPr>
                  <pic:blipFill>
                    <a:blip r:embed="rId14"/>
                    <a:stretch>
                      <a:fillRect/>
                    </a:stretch>
                  </pic:blipFill>
                  <pic:spPr>
                    <a:xfrm>
                      <a:off x="0" y="0"/>
                      <a:ext cx="5943600" cy="5999393"/>
                    </a:xfrm>
                    <a:prstGeom prst="rect"/>
                  </pic:spPr>
                </pic:pic>
              </a:graphicData>
            </a:graphic>
          </wp:inline>
        </w:drawing>
      </w:r>
    </w:p>
    <w:p>
      <w:pPr>
        <w:jc w:val="center"/>
      </w:pPr>
      <w:r>
        <w:rPr>
          <w:i/>
          <w:sz w:val="20"/>
        </w:rPr>
        <w:t>Figure 6: Full-chain validation comparing linear (top) and MLP (bottom) configurations. The MLP configuration (bottom) shows tighter clustering along the diagonal, confirming superior prediction accuracy.</w:t>
      </w:r>
    </w:p>
    <w:p/>
    <w:p>
      <w:pPr>
        <w:jc w:val="center"/>
      </w:pPr>
      <w:r>
        <w:drawing>
          <wp:inline xmlns:a="http://schemas.openxmlformats.org/drawingml/2006/main" xmlns:pic="http://schemas.openxmlformats.org/drawingml/2006/picture">
            <wp:extent cx="5486400" cy="2873133"/>
            <wp:docPr id="7" name="Picture 7"/>
            <wp:cNvGraphicFramePr>
              <a:graphicFrameLocks noChangeAspect="1"/>
            </wp:cNvGraphicFramePr>
            <a:graphic>
              <a:graphicData uri="http://schemas.openxmlformats.org/drawingml/2006/picture">
                <pic:pic>
                  <pic:nvPicPr>
                    <pic:cNvPr id="0" name="fig06_model_metrics.png"/>
                    <pic:cNvPicPr/>
                  </pic:nvPicPr>
                  <pic:blipFill>
                    <a:blip r:embed="rId15"/>
                    <a:stretch>
                      <a:fillRect/>
                    </a:stretch>
                  </pic:blipFill>
                  <pic:spPr>
                    <a:xfrm>
                      <a:off x="0" y="0"/>
                      <a:ext cx="5486400" cy="2873133"/>
                    </a:xfrm>
                    <a:prstGeom prst="rect"/>
                  </pic:spPr>
                </pic:pic>
              </a:graphicData>
            </a:graphic>
          </wp:inline>
        </w:drawing>
      </w:r>
    </w:p>
    <w:p>
      <w:pPr>
        <w:jc w:val="center"/>
      </w:pPr>
      <w:r>
        <w:rPr>
          <w:i/>
          <w:sz w:val="20"/>
        </w:rPr>
        <w:t>Figure 7: Summary bar charts of model metrics. MAE and R² for structural deflection, aerodynamic CL, and aerodynamic CD predictions on real validation data.</w:t>
      </w:r>
    </w:p>
    <w:p>
      <w:r>
        <w:br w:type="page"/>
      </w:r>
    </w:p>
    <w:p>
      <w:pPr>
        <w:pStyle w:val="Heading1"/>
      </w:pPr>
      <w:r>
        <w:rPr>
          <w:color w:val="1F4E79"/>
        </w:rPr>
        <w:t>6. AERODYNAMIC CHARACTERIZATION</w:t>
      </w:r>
    </w:p>
    <w:p>
      <w:pPr>
        <w:pStyle w:val="Heading2"/>
      </w:pPr>
      <w:r>
        <w:rPr>
          <w:color w:val="1F4E79"/>
        </w:rPr>
        <w:t>6.1 CL vs. Pitch Angle</w:t>
      </w:r>
    </w:p>
    <w:p>
      <w:r>
        <w:rPr>
          <w:sz w:val="22"/>
        </w:rPr>
        <w:t>The following figure shows lift coefficient variation across pitch angles at four representative voltage combinations. These curves enable designers to understand how morphing modulates lift across the operational envelope.</w:t>
      </w:r>
    </w:p>
    <w:p>
      <w:pPr>
        <w:jc w:val="center"/>
      </w:pPr>
      <w:r>
        <w:drawing>
          <wp:inline xmlns:a="http://schemas.openxmlformats.org/drawingml/2006/main" xmlns:pic="http://schemas.openxmlformats.org/drawingml/2006/picture">
            <wp:extent cx="5943600" cy="5396466"/>
            <wp:docPr id="8" name="Picture 8"/>
            <wp:cNvGraphicFramePr>
              <a:graphicFrameLocks noChangeAspect="1"/>
            </wp:cNvGraphicFramePr>
            <a:graphic>
              <a:graphicData uri="http://schemas.openxmlformats.org/drawingml/2006/picture">
                <pic:pic>
                  <pic:nvPicPr>
                    <pic:cNvPr id="0" name="fig07_cl_vs_pitch.png"/>
                    <pic:cNvPicPr/>
                  </pic:nvPicPr>
                  <pic:blipFill>
                    <a:blip r:embed="rId16"/>
                    <a:stretch>
                      <a:fillRect/>
                    </a:stretch>
                  </pic:blipFill>
                  <pic:spPr>
                    <a:xfrm>
                      <a:off x="0" y="0"/>
                      <a:ext cx="5943600" cy="5396466"/>
                    </a:xfrm>
                    <a:prstGeom prst="rect"/>
                  </pic:spPr>
                </pic:pic>
              </a:graphicData>
            </a:graphic>
          </wp:inline>
        </w:drawing>
      </w:r>
    </w:p>
    <w:p>
      <w:pPr>
        <w:jc w:val="center"/>
      </w:pPr>
      <w:r>
        <w:rPr>
          <w:i/>
          <w:sz w:val="20"/>
        </w:rPr>
        <w:t>Figure 8: Lift coefficient vs. pitch angle for four voltage combinations. Solid lines with markers show CFD truth; dashed lines show chained surrogate predictions. The surrogate accurately captures the nonlinear CL dependence on both deflection (via voltage) and pitch.</w:t>
      </w:r>
    </w:p>
    <w:p>
      <w:r>
        <w:br w:type="page"/>
      </w:r>
    </w:p>
    <w:p>
      <w:pPr>
        <w:pStyle w:val="Heading1"/>
      </w:pPr>
      <w:r>
        <w:rPr>
          <w:color w:val="1F4E79"/>
        </w:rPr>
        <w:t>7. ERROR ANALYSIS &amp; MODEL LIMITATIONS</w:t>
      </w:r>
    </w:p>
    <w:p>
      <w:pPr>
        <w:pStyle w:val="Heading2"/>
      </w:pPr>
      <w:r>
        <w:rPr>
          <w:color w:val="1F4E79"/>
        </w:rPr>
        <w:t>7.1 Pitch-Angle Dependence of Error</w:t>
      </w:r>
    </w:p>
    <w:p>
      <w:r>
        <w:rPr>
          <w:sz w:val="22"/>
        </w:rPr>
        <w:t>The following figure shows how prediction error varies with pitch angle, revealing where the model is most/least accurate across the operational envelope.</w:t>
      </w:r>
    </w:p>
    <w:p>
      <w:pPr>
        <w:jc w:val="center"/>
      </w:pPr>
      <w:r>
        <w:drawing>
          <wp:inline xmlns:a="http://schemas.openxmlformats.org/drawingml/2006/main" xmlns:pic="http://schemas.openxmlformats.org/drawingml/2006/picture">
            <wp:extent cx="5943600" cy="5201348"/>
            <wp:docPr id="9" name="Picture 9"/>
            <wp:cNvGraphicFramePr>
              <a:graphicFrameLocks noChangeAspect="1"/>
            </wp:cNvGraphicFramePr>
            <a:graphic>
              <a:graphicData uri="http://schemas.openxmlformats.org/drawingml/2006/picture">
                <pic:pic>
                  <pic:nvPicPr>
                    <pic:cNvPr id="0" name="fig08_error_vs_pitch.png"/>
                    <pic:cNvPicPr/>
                  </pic:nvPicPr>
                  <pic:blipFill>
                    <a:blip r:embed="rId17"/>
                    <a:stretch>
                      <a:fillRect/>
                    </a:stretch>
                  </pic:blipFill>
                  <pic:spPr>
                    <a:xfrm>
                      <a:off x="0" y="0"/>
                      <a:ext cx="5943600" cy="5201348"/>
                    </a:xfrm>
                    <a:prstGeom prst="rect"/>
                  </pic:spPr>
                </pic:pic>
              </a:graphicData>
            </a:graphic>
          </wp:inline>
        </w:drawing>
      </w:r>
    </w:p>
    <w:p>
      <w:pPr>
        <w:jc w:val="center"/>
      </w:pPr>
      <w:r>
        <w:rPr>
          <w:i/>
          <w:sz w:val="20"/>
        </w:rPr>
        <w:t>Figure 9: Mean absolute error of the chained MLP model at each pitch angle. CL error (circles) is largest at extreme angles (−4°, 20°) where nonlinearities dominate (stall effects). CD error (squares) remains consistent across angles.</w:t>
      </w:r>
    </w:p>
    <w:p/>
    <w:p>
      <w:pPr>
        <w:pStyle w:val="Heading2"/>
      </w:pPr>
      <w:r>
        <w:rPr>
          <w:color w:val="1F4E79"/>
        </w:rPr>
        <w:t>7.2 Key Findings</w:t>
      </w:r>
    </w:p>
    <w:p>
      <w:pPr>
        <w:pStyle w:val="ListBullet"/>
      </w:pPr>
      <w:r>
        <w:t>CL prediction: Most accurate at intermediate angles (4°–12°): MAE ≈ 0.0015. Reduces gracefully at extreme angles (MAE ≈ 0.003 at 20°).</w:t>
      </w:r>
    </w:p>
    <w:p>
      <w:pPr>
        <w:pStyle w:val="ListBullet"/>
      </w:pPr>
      <w:r>
        <w:t>CD prediction: Consistent accuracy across all pitch angles: MAE ≈ 0.002.</w:t>
      </w:r>
    </w:p>
    <w:p>
      <w:pPr>
        <w:pStyle w:val="ListBullet"/>
      </w:pPr>
      <w:r>
        <w:t>No catastrophic failures: Maximum absolute error is 0.008 (at pitch = 20°, still acceptable).</w:t>
      </w:r>
    </w:p>
    <w:p>
      <w:pPr>
        <w:pStyle w:val="ListBullet"/>
      </w:pPr>
      <w:r>
        <w:t>Residual distribution: Zero-mean, Gaussian-like, confirming unbiased predictions.</w:t>
      </w:r>
    </w:p>
    <w:p>
      <w:r>
        <w:br w:type="page"/>
      </w:r>
    </w:p>
    <w:p>
      <w:pPr>
        <w:pStyle w:val="Heading1"/>
      </w:pPr>
      <w:r>
        <w:rPr>
          <w:color w:val="1F4E79"/>
        </w:rPr>
        <w:t>8. INVERSE MAPPING &amp; VOLTAGE CONTROL</w:t>
      </w:r>
    </w:p>
    <w:p>
      <w:pPr>
        <w:pStyle w:val="Heading2"/>
      </w:pPr>
      <w:r>
        <w:rPr>
          <w:color w:val="1F4E79"/>
        </w:rPr>
        <w:t>8.1 Inverse Search Algorithm</w:t>
      </w:r>
    </w:p>
    <w:p>
      <w:r>
        <w:rPr>
          <w:sz w:val="22"/>
        </w:rPr>
        <w:t xml:space="preserve">Given a target lift coefficient at a fixed pitch angle, the inverse search algorithm </w:t>
        <w:br/>
        <w:t xml:space="preserve">    recommends MFC voltage pairs. Two-stage process:</w:t>
        <w:br/>
        <w:t xml:space="preserve">    </w:t>
        <w:br/>
        <w:t xml:space="preserve">    1. Grid Search: Enumerate all voltage combinations at 50 V step resolution</w:t>
        <w:br/>
        <w:t xml:space="preserve">    2. Continuous Refinement: Local optimization from top-5 grid points using L-BFGS-B</w:t>
        <w:br/>
        <w:t xml:space="preserve">    3. Ranking: Sort candidates by (a) CL error, (b) CD constraint violation, (c) total voltage</w:t>
        <w:br/>
        <w:t xml:space="preserve">    4. Output: Top-5 recommendations with predicted aerodynamic performance</w:t>
      </w:r>
    </w:p>
    <w:p>
      <w:pPr>
        <w:jc w:val="center"/>
      </w:pPr>
      <w:r>
        <w:drawing>
          <wp:inline xmlns:a="http://schemas.openxmlformats.org/drawingml/2006/main" xmlns:pic="http://schemas.openxmlformats.org/drawingml/2006/picture">
            <wp:extent cx="5943600" cy="3143310"/>
            <wp:docPr id="10" name="Picture 10"/>
            <wp:cNvGraphicFramePr>
              <a:graphicFrameLocks noChangeAspect="1"/>
            </wp:cNvGraphicFramePr>
            <a:graphic>
              <a:graphicData uri="http://schemas.openxmlformats.org/drawingml/2006/picture">
                <pic:pic>
                  <pic:nvPicPr>
                    <pic:cNvPr id="0" name="fig09_inverse_control.png"/>
                    <pic:cNvPicPr/>
                  </pic:nvPicPr>
                  <pic:blipFill>
                    <a:blip r:embed="rId18"/>
                    <a:stretch>
                      <a:fillRect/>
                    </a:stretch>
                  </pic:blipFill>
                  <pic:spPr>
                    <a:xfrm>
                      <a:off x="0" y="0"/>
                      <a:ext cx="5943600" cy="3143310"/>
                    </a:xfrm>
                    <a:prstGeom prst="rect"/>
                  </pic:spPr>
                </pic:pic>
              </a:graphicData>
            </a:graphic>
          </wp:inline>
        </w:drawing>
      </w:r>
    </w:p>
    <w:p>
      <w:pPr>
        <w:jc w:val="center"/>
      </w:pPr>
      <w:r>
        <w:rPr>
          <w:i/>
          <w:sz w:val="20"/>
        </w:rPr>
        <w:t>Figure 10: Inverse control demonstration at pitch = 8°. Left panel: Achieved CL for four target values, showing excellent tracking with &lt;0.001 error. Right panel: Recommended voltages in the voltage space, annotated with target CL values.</w:t>
      </w:r>
    </w:p>
    <w:p/>
    <w:p>
      <w:pPr>
        <w:pStyle w:val="Heading2"/>
      </w:pPr>
      <w:r>
        <w:rPr>
          <w:color w:val="1F4E79"/>
        </w:rPr>
        <w:t>8.2 Example Results</w:t>
      </w:r>
    </w:p>
    <w:p>
      <w:pPr>
        <w:pStyle w:val="Heading3"/>
      </w:pPr>
      <w:r>
        <w:rPr>
          <w:color w:val="1F4E79"/>
        </w:rPr>
        <w:t>8.2.1 Case A: No Drag Constraint</w:t>
      </w:r>
    </w:p>
    <w:p>
      <w:r>
        <w:rPr>
          <w:sz w:val="22"/>
        </w:rPr>
        <w:t>Target CL = 0.15, Pitch = 8°</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Quantity</w:t>
            </w:r>
          </w:p>
        </w:tc>
        <w:tc>
          <w:tcPr>
            <w:tcW w:type="dxa" w:w="4320"/>
            <w:shd w:fill="D3D3D3"/>
          </w:tcPr>
          <w:p>
            <w:r>
              <w:t>Value</w:t>
            </w:r>
          </w:p>
        </w:tc>
      </w:tr>
      <w:tr>
        <w:tc>
          <w:tcPr>
            <w:tcW w:type="dxa" w:w="4320"/>
          </w:tcPr>
          <w:p>
            <w:r>
              <w:t>Lower V (V)</w:t>
            </w:r>
          </w:p>
        </w:tc>
        <w:tc>
          <w:tcPr>
            <w:tcW w:type="dxa" w:w="4320"/>
          </w:tcPr>
          <w:p>
            <w:r>
              <w:t>−250</w:t>
            </w:r>
          </w:p>
        </w:tc>
      </w:tr>
      <w:tr>
        <w:tc>
          <w:tcPr>
            <w:tcW w:type="dxa" w:w="4320"/>
          </w:tcPr>
          <w:p>
            <w:r>
              <w:t>Upper V (V)</w:t>
            </w:r>
          </w:p>
        </w:tc>
        <w:tc>
          <w:tcPr>
            <w:tcW w:type="dxa" w:w="4320"/>
          </w:tcPr>
          <w:p>
            <w:r>
              <w:t>1000</w:t>
            </w:r>
          </w:p>
        </w:tc>
      </w:tr>
      <w:tr>
        <w:tc>
          <w:tcPr>
            <w:tcW w:type="dxa" w:w="4320"/>
          </w:tcPr>
          <w:p>
            <w:r>
              <w:t>Predicted CL</w:t>
            </w:r>
          </w:p>
        </w:tc>
        <w:tc>
          <w:tcPr>
            <w:tcW w:type="dxa" w:w="4320"/>
          </w:tcPr>
          <w:p>
            <w:r>
              <w:t>0.15007</w:t>
            </w:r>
          </w:p>
        </w:tc>
      </w:tr>
      <w:tr>
        <w:tc>
          <w:tcPr>
            <w:tcW w:type="dxa" w:w="4320"/>
          </w:tcPr>
          <w:p>
            <w:r>
              <w:t>Predicted CD</w:t>
            </w:r>
          </w:p>
        </w:tc>
        <w:tc>
          <w:tcPr>
            <w:tcW w:type="dxa" w:w="4320"/>
          </w:tcPr>
          <w:p>
            <w:r>
              <w:t>0.05751</w:t>
            </w:r>
          </w:p>
        </w:tc>
      </w:tr>
      <w:tr>
        <w:tc>
          <w:tcPr>
            <w:tcW w:type="dxa" w:w="4320"/>
          </w:tcPr>
          <w:p>
            <w:r>
              <w:t>CL Error</w:t>
            </w:r>
          </w:p>
        </w:tc>
        <w:tc>
          <w:tcPr>
            <w:tcW w:type="dxa" w:w="4320"/>
          </w:tcPr>
          <w:p>
            <w:r>
              <w:t>&lt; 0.0001</w:t>
            </w:r>
          </w:p>
        </w:tc>
      </w:tr>
    </w:tbl>
    <w:p>
      <w:pPr>
        <w:pStyle w:val="Heading3"/>
      </w:pPr>
      <w:r>
        <w:rPr>
          <w:color w:val="1F4E79"/>
        </w:rPr>
        <w:t>8.2.2 Case B: With Drag Constraint</w:t>
      </w:r>
    </w:p>
    <w:p>
      <w:r>
        <w:rPr>
          <w:sz w:val="22"/>
        </w:rPr>
        <w:t>Target CL = 0.15, Pitch = 8°, Max CD = 0.05</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Quantity</w:t>
            </w:r>
          </w:p>
        </w:tc>
        <w:tc>
          <w:tcPr>
            <w:tcW w:type="dxa" w:w="4320"/>
            <w:shd w:fill="D3D3D3"/>
          </w:tcPr>
          <w:p>
            <w:r>
              <w:t>Value</w:t>
            </w:r>
          </w:p>
        </w:tc>
      </w:tr>
      <w:tr>
        <w:tc>
          <w:tcPr>
            <w:tcW w:type="dxa" w:w="4320"/>
          </w:tcPr>
          <w:p>
            <w:r>
              <w:t>Feasibility</w:t>
            </w:r>
          </w:p>
        </w:tc>
        <w:tc>
          <w:tcPr>
            <w:tcW w:type="dxa" w:w="4320"/>
          </w:tcPr>
          <w:p>
            <w:r>
              <w:t>Not achievable</w:t>
            </w:r>
          </w:p>
        </w:tc>
      </w:tr>
      <w:tr>
        <w:tc>
          <w:tcPr>
            <w:tcW w:type="dxa" w:w="4320"/>
          </w:tcPr>
          <w:p>
            <w:r>
              <w:t>Best compromise</w:t>
            </w:r>
          </w:p>
        </w:tc>
        <w:tc>
          <w:tcPr>
            <w:tcW w:type="dxa" w:w="4320"/>
          </w:tcPr>
          <w:p>
            <w:r>
              <w:t>Lower = −300 V, Upper = 600 V</w:t>
            </w:r>
          </w:p>
        </w:tc>
      </w:tr>
      <w:tr>
        <w:tc>
          <w:tcPr>
            <w:tcW w:type="dxa" w:w="4320"/>
          </w:tcPr>
          <w:p>
            <w:r>
              <w:t>Predicted CL</w:t>
            </w:r>
          </w:p>
        </w:tc>
        <w:tc>
          <w:tcPr>
            <w:tcW w:type="dxa" w:w="4320"/>
          </w:tcPr>
          <w:p>
            <w:r>
              <w:t>0.1196</w:t>
            </w:r>
          </w:p>
        </w:tc>
      </w:tr>
      <w:tr>
        <w:tc>
          <w:tcPr>
            <w:tcW w:type="dxa" w:w="4320"/>
          </w:tcPr>
          <w:p>
            <w:r>
              <w:t>Predicted CD</w:t>
            </w:r>
          </w:p>
        </w:tc>
        <w:tc>
          <w:tcPr>
            <w:tcW w:type="dxa" w:w="4320"/>
          </w:tcPr>
          <w:p>
            <w:r>
              <w:t>0.0499 (✓ satisfies constraint)</w:t>
            </w:r>
          </w:p>
        </w:tc>
      </w:tr>
    </w:tbl>
    <w:p>
      <w:r>
        <w:br w:type="page"/>
      </w:r>
    </w:p>
    <w:p>
      <w:pPr>
        <w:pStyle w:val="Heading1"/>
      </w:pPr>
      <w:r>
        <w:rPr>
          <w:color w:val="1F4E79"/>
        </w:rPr>
        <w:t>9. SOFTWARE TOOLKIT &amp; IMPLEMENTATION</w:t>
      </w:r>
    </w:p>
    <w:p>
      <w:pPr>
        <w:pStyle w:val="Heading2"/>
      </w:pPr>
      <w:r>
        <w:rPr>
          <w:color w:val="1F4E79"/>
        </w:rPr>
        <w:t>9.1 Project Structure</w:t>
      </w:r>
    </w:p>
    <w:p>
      <w:r>
        <w:rPr>
          <w:sz w:val="22"/>
        </w:rPr>
        <w:t>Repository: c:/Users/akash/Desktop/IDP/</w:t>
        <w:br/>
        <w:t xml:space="preserve">    </w:t>
        <w:br/>
        <w:t xml:space="preserve">    Training Scripts:</w:t>
        <w:br/>
        <w:t xml:space="preserve">    • train_structural_surrogates.py — Structural model training</w:t>
        <w:br/>
        <w:t xml:space="preserve">    • train_aerodynamic_surrogates.py — Aerodynamic model training (original data)</w:t>
        <w:br/>
        <w:t xml:space="preserve">    • train_augmented_surrogates.py — Retraining on synthetic-augmented data</w:t>
        <w:br/>
        <w:t xml:space="preserve">    • generate_synthetic_data.py — Synthetic data generation</w:t>
        <w:br/>
        <w:t xml:space="preserve">    </w:t>
        <w:br/>
        <w:t xml:space="preserve">    Inference Tools:</w:t>
        <w:br/>
        <w:t xml:space="preserve">    • predict_cl_cd.py — Forward prediction: voltages + pitch → CL, CD</w:t>
        <w:br/>
        <w:t xml:space="preserve">    • recommend_voltages.py — Inverse search: target CL + pitch → voltages</w:t>
        <w:br/>
        <w:t xml:space="preserve">    • surrogate_chain.py — Core inference engine</w:t>
        <w:br/>
        <w:t xml:space="preserve">    </w:t>
        <w:br/>
        <w:t xml:space="preserve">    Visualization:</w:t>
        <w:br/>
        <w:t xml:space="preserve">    • generate_publication_plots.py — Create all 10 publication figures</w:t>
        <w:br/>
        <w:t xml:space="preserve">    • plot_structural_response_surfaces.py — Deflection visualization</w:t>
      </w:r>
    </w:p>
    <w:p>
      <w:pPr>
        <w:pStyle w:val="Heading2"/>
      </w:pPr>
      <w:r>
        <w:rPr>
          <w:color w:val="1F4E79"/>
        </w:rPr>
        <w:t>9.2 Quick Start</w:t>
      </w:r>
    </w:p>
    <w:p>
      <w:r>
        <w:rPr>
          <w:b/>
          <w:sz w:val="22"/>
        </w:rPr>
        <w:t>Environment setup:</w:t>
      </w:r>
    </w:p>
    <w:p>
      <w:r>
        <w:rPr>
          <w:i/>
          <w:sz w:val="22"/>
        </w:rPr>
        <w:t>python -m venv .venv</w:t>
        <w:br/>
        <w:t>.venv\Scripts\Activate.ps1</w:t>
        <w:br/>
        <w:t>pip install -r requirements.txt</w:t>
      </w:r>
    </w:p>
    <w:p>
      <w:r>
        <w:rPr>
          <w:b/>
          <w:sz w:val="22"/>
        </w:rPr>
        <w:t>Forward prediction:</w:t>
      </w:r>
    </w:p>
    <w:p>
      <w:r>
        <w:rPr>
          <w:i/>
          <w:sz w:val="22"/>
        </w:rPr>
        <w:t>python predict_cl_cd.py --upper-v 750 --lower-v -50 --pitch-deg 8</w:t>
      </w:r>
    </w:p>
    <w:p>
      <w:r>
        <w:rPr>
          <w:b/>
          <w:sz w:val="22"/>
        </w:rPr>
        <w:t>Inverse recommendation:</w:t>
      </w:r>
    </w:p>
    <w:p>
      <w:r>
        <w:rPr>
          <w:i/>
          <w:sz w:val="22"/>
        </w:rPr>
        <w:t>python recommend_voltages.py --target-cl 0.15 --pitch-deg 8 --max-cd 0.05</w:t>
      </w:r>
    </w:p>
    <w:p>
      <w:r>
        <w:br w:type="page"/>
      </w:r>
    </w:p>
    <w:p>
      <w:pPr>
        <w:pStyle w:val="Heading1"/>
      </w:pPr>
      <w:r>
        <w:rPr>
          <w:color w:val="1F4E79"/>
        </w:rPr>
        <w:t>10. CONCLUSIONS &amp; FUTURE WORK</w:t>
      </w:r>
    </w:p>
    <w:p>
      <w:pPr>
        <w:pStyle w:val="Heading2"/>
      </w:pPr>
      <w:r>
        <w:rPr>
          <w:color w:val="1F4E79"/>
        </w:rPr>
        <w:t>10.1 Key Achievements</w:t>
      </w:r>
    </w:p>
    <w:p>
      <w:pPr>
        <w:pStyle w:val="ListBullet"/>
      </w:pPr>
      <w:r>
        <w:t>Built a production-ready two-stage surrogate framework integrating structural and aerodynamic models.</w:t>
      </w:r>
    </w:p>
    <w:p>
      <w:pPr>
        <w:pStyle w:val="ListBullet"/>
      </w:pPr>
      <w:r>
        <w:t>Achieved near-perfect structural accuracy (R² = 0.999998) with linear regression.</w:t>
      </w:r>
    </w:p>
    <w:p>
      <w:pPr>
        <w:pStyle w:val="ListBullet"/>
      </w:pPr>
      <w:r>
        <w:t>Improved aerodynamic CD prediction by 20× (R² = 0.83 → 0.99) via synthetic augmentation.</w:t>
      </w:r>
    </w:p>
    <w:p>
      <w:pPr>
        <w:pStyle w:val="ListBullet"/>
      </w:pPr>
      <w:r>
        <w:t>Validated on real CFD data: CL/CD MAE &lt; 0.0025 across 201 points.</w:t>
      </w:r>
    </w:p>
    <w:p>
      <w:pPr>
        <w:pStyle w:val="ListBullet"/>
      </w:pPr>
      <w:r>
        <w:t>Implemented inverse voltage search for real-time aerodynamic control.</w:t>
      </w:r>
    </w:p>
    <w:p>
      <w:pPr>
        <w:pStyle w:val="ListBullet"/>
      </w:pPr>
      <w:r>
        <w:t>Generated 10 publication-quality figures with comprehensive documentation.</w:t>
      </w:r>
    </w:p>
    <w:p>
      <w:pPr>
        <w:pStyle w:val="Heading2"/>
      </w:pPr>
      <w:r>
        <w:rPr>
          <w:color w:val="1F4E79"/>
        </w:rPr>
        <w:t>10.2 Recommendations for Next Phase</w:t>
      </w:r>
    </w:p>
    <w:p>
      <w:pPr>
        <w:pStyle w:val="ListBullet"/>
      </w:pPr>
      <w:r>
        <w:t>Prototype fabrication with MFC actuators and trailing-edge joint</w:t>
      </w:r>
    </w:p>
    <w:p>
      <w:pPr>
        <w:pStyle w:val="ListBullet"/>
      </w:pPr>
      <w:r>
        <w:t>Wind-tunnel testing at matching pitch angles and voltage levels</w:t>
      </w:r>
    </w:p>
    <w:p>
      <w:pPr>
        <w:pStyle w:val="ListBullet"/>
      </w:pPr>
      <w:r>
        <w:t>Experimental validation against surrogate predictions (target: ±0.005 CL error)</w:t>
      </w:r>
    </w:p>
    <w:p>
      <w:pPr>
        <w:pStyle w:val="ListBullet"/>
      </w:pPr>
      <w:r>
        <w:t>Include Reynolds number as explicit model input for broader applicability</w:t>
      </w:r>
    </w:p>
    <w:p>
      <w:pPr>
        <w:pStyle w:val="ListBullet"/>
      </w:pPr>
      <w:r>
        <w:t>Add CFD runs at intermediate upper voltages to reduce extrapolation risk</w:t>
      </w:r>
    </w:p>
    <w:p>
      <w:pPr>
        <w:pStyle w:val="ListBullet"/>
      </w:pPr>
      <w:r>
        <w:t>Investigate closed-loop stability with pitch-rate feedback</w:t>
      </w:r>
    </w:p>
    <w:p/>
    <w:p>
      <w:r>
        <w:rPr>
          <w:i/>
          <w:sz w:val="22"/>
        </w:rPr>
        <w:t>This comprehensive ML framework demonstrates the feasibility of data-driven surrogate modeling for adaptive morphing wing control. The framework is ready for integration with experimental validation in Phase 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