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2A6C"/>
          <w:sz w:val="44"/>
        </w:rPr>
        <w:t>DATA-DRIVEN MACHINE LEARNING FRAMEWORK</w:t>
        <w:br/>
      </w:r>
      <w:r>
        <w:rPr>
          <w:b/>
          <w:color w:val="1A2A6C"/>
          <w:sz w:val="44"/>
        </w:rPr>
        <w:t>FOR PIEZOELECTRIC MORPHING WINGS</w:t>
      </w:r>
    </w:p>
    <w:p/>
    <w:p>
      <w:pPr>
        <w:jc w:val="center"/>
      </w:pPr>
      <w:r>
        <w:rPr>
          <w:i/>
          <w:color w:val="2374AB"/>
          <w:sz w:val="26"/>
        </w:rPr>
        <w:t>Comprehensive Technical Report — Aerodynamic &amp; Structural Surrogate Modelling</w:t>
      </w:r>
    </w:p>
    <w:p>
      <w:pPr>
        <w:pBdr>
          <w:bottom w:val="single" w:sz="6" w:space="1" w:color="2C3E7A"/>
        </w:pBdr>
        <w:spacing w:before="80" w:after="80"/>
      </w:pPr>
    </w:p>
    <w:p/>
    <w:p>
      <w:pPr>
        <w:jc w:val="center"/>
      </w:pPr>
      <w:r>
        <w:rPr>
          <w:sz w:val="22"/>
        </w:rPr>
        <w:t>IDP Phase 2 — Interdisciplinary Design Project</w:t>
        <w:br/>
      </w:r>
      <w:r>
        <w:rPr>
          <w:sz w:val="22"/>
        </w:rPr>
        <w:t>RV College of Engineering, Bengaluru</w:t>
        <w:br/>
      </w:r>
      <w:r>
        <w:rPr>
          <w:sz w:val="22"/>
        </w:rPr>
        <w:t>Department of Aerospace Engineering</w:t>
        <w:br/>
        <w:br/>
      </w:r>
      <w:r>
        <w:rPr>
          <w:sz w:val="22"/>
        </w:rPr>
        <w:t>Machine Learning Component — Surrogate Modelling &amp; Inverse Control</w:t>
        <w:br/>
        <w:br/>
      </w:r>
      <w:r>
        <w:rPr>
          <w:sz w:val="22"/>
        </w:rPr>
        <w:t>Report Generated: June 24, 2026</w:t>
      </w:r>
    </w:p>
    <w:p>
      <w:r>
        <w:br w:type="page"/>
      </w:r>
    </w:p>
    <w:p>
      <w:pPr>
        <w:pStyle w:val="Heading1"/>
        <w:jc w:val="left"/>
      </w:pPr>
      <w:r>
        <w:rPr>
          <w:color w:val="1A2A6C"/>
          <w:sz w:val="30"/>
        </w:rPr>
        <w:t>ABSTRACT</w:t>
      </w:r>
    </w:p>
    <w:p>
      <w:pPr>
        <w:ind w:firstLine="360"/>
        <w:jc w:val="both"/>
        <w:spacing w:before="40" w:after="60"/>
      </w:pPr>
      <w:r>
        <w:rPr>
          <w:sz w:val="22"/>
        </w:rPr>
        <w:t>This technical report presents a comprehensive, data-driven machine learning surrogate framework developed for the aerodynamic and structural analysis of a piezoelectric morphing NACA 0009 wing. The morphing concept employs Macro Fiber Composite (MFC) actuators bonded to the upper and lower surfaces of the wing near the trailing edge, enabling continuous camber deformation through applied voltage excitation. This approach replaces conventional discrete control surfaces with a smooth, continuously deformable trailing edge, reducing aerodynamic drag and improving lift efficiency across varying flight conditions.</w:t>
      </w:r>
    </w:p>
    <w:p>
      <w:pPr>
        <w:ind w:firstLine="360"/>
        <w:jc w:val="both"/>
        <w:spacing w:before="40" w:after="60"/>
      </w:pPr>
      <w:r>
        <w:rPr>
          <w:sz w:val="22"/>
        </w:rPr>
        <w:t>Direct high-fidelity simulation of such a system — involving coupled finite element structural analysis and computational fluid dynamics — is computationally prohibitive for real-time control or iterative design optimization. The surrogate framework developed here replaces these simulations with fast, accurate machine learning models trained on pre-computed simulation data, enabling near-instantaneous aerodynamic predictions and real-time inverse voltage control.</w:t>
      </w:r>
    </w:p>
    <w:p>
      <w:pPr>
        <w:ind w:firstLine="360"/>
        <w:jc w:val="both"/>
        <w:spacing w:before="40" w:after="60"/>
      </w:pPr>
      <w:r>
        <w:rPr>
          <w:sz w:val="22"/>
        </w:rPr>
        <w:t>The framework consists of two sequential surrogate models: a structural surrogate that maps MFC actuator voltages (V_lower, V_upper) to trailing-edge deflection, and an aerodynamic surrogate that maps the resulting deflection and pitch angle to lift (CL) and drag (CD) coefficients. The structural surrogate, trained on 300 ANSYS finite element analysis (FEA) simulations, achieves an R² of 0.999998 using linear regression — consistent with the fundamentally linear electromechanical behavior of MFC actuators. The aerodynamic surrogate employs a Multi-Layer Perceptron (MLP) trained on physics-consistent synthetic data augmentation (7,797 additional rows) derived from 201 ANSYS Fluent CFD simulations, achieving CL MAE = 0.0022 (R² = 0.998) and CD MAE = 0.0021 (R² = 0.991).</w:t>
      </w:r>
    </w:p>
    <w:p>
      <w:pPr>
        <w:ind w:firstLine="360"/>
        <w:jc w:val="both"/>
        <w:spacing w:before="40" w:after="60"/>
      </w:pPr>
      <w:r>
        <w:rPr>
          <w:sz w:val="22"/>
        </w:rPr>
        <w:t>An inverse voltage control algorithm is implemented using a two-stage grid-search and continuous L-BFGS-B optimization, enabling real-time recommendation of MFC voltage pairs to achieve a user-specified target lift coefficient under optional drag constraints. All components are validated on real CFD data and packaged as a production-ready Python toolkit. The framework is intended to serve as the computational backbone for closed-loop adaptive morphing wing control in IDP Phase 2.2 experimental validation.</w:t>
      </w:r>
    </w:p>
    <w:p>
      <w:r>
        <w:br w:type="page"/>
      </w:r>
    </w:p>
    <w:p>
      <w:pPr>
        <w:pStyle w:val="Heading1"/>
        <w:jc w:val="left"/>
      </w:pPr>
      <w:r>
        <w:rPr>
          <w:color w:val="1A2A6C"/>
          <w:sz w:val="30"/>
        </w:rPr>
        <w:t>TABLE OF CONTENTS</w:t>
      </w:r>
    </w:p>
    <w:p>
      <w:pPr>
        <w:tabs>
          <w:tab w:pos="7920" w:val="left"/>
        </w:tabs>
        <w:spacing w:before="20" w:after="20"/>
      </w:pPr>
      <w:r>
        <w:rPr>
          <w:b/>
          <w:sz w:val="21"/>
        </w:rPr>
        <w:t>1.  Executive Summary</w:t>
      </w:r>
      <w:r>
        <w:rPr>
          <w:sz w:val="21"/>
        </w:rPr>
        <w:tab/>
        <w:t>4</w:t>
      </w:r>
    </w:p>
    <w:p>
      <w:pPr>
        <w:tabs>
          <w:tab w:pos="7920" w:val="left"/>
        </w:tabs>
        <w:spacing w:before="20" w:after="20"/>
      </w:pPr>
      <w:r>
        <w:rPr>
          <w:b/>
          <w:sz w:val="21"/>
        </w:rPr>
        <w:t>2.  Methodology &amp; Framework Overview</w:t>
      </w:r>
      <w:r>
        <w:rPr>
          <w:sz w:val="21"/>
        </w:rPr>
        <w:tab/>
        <w:t>5</w:t>
      </w:r>
    </w:p>
    <w:p>
      <w:pPr>
        <w:tabs>
          <w:tab w:pos="7920" w:val="left"/>
        </w:tabs>
        <w:spacing w:before="20" w:after="20"/>
      </w:pPr>
      <w:r>
        <w:rPr>
          <w:sz w:val="21"/>
        </w:rPr>
        <w:t xml:space="preserve">   2.1  System Architecture</w:t>
      </w:r>
      <w:r>
        <w:rPr>
          <w:sz w:val="21"/>
        </w:rPr>
        <w:tab/>
        <w:t>5</w:t>
      </w:r>
    </w:p>
    <w:p>
      <w:pPr>
        <w:tabs>
          <w:tab w:pos="7920" w:val="left"/>
        </w:tabs>
        <w:spacing w:before="20" w:after="20"/>
      </w:pPr>
      <w:r>
        <w:rPr>
          <w:sz w:val="21"/>
        </w:rPr>
        <w:t xml:space="preserve">   2.2  Data Sources</w:t>
      </w:r>
      <w:r>
        <w:rPr>
          <w:sz w:val="21"/>
        </w:rPr>
        <w:tab/>
        <w:t>6</w:t>
      </w:r>
    </w:p>
    <w:p>
      <w:pPr>
        <w:tabs>
          <w:tab w:pos="7920" w:val="left"/>
        </w:tabs>
        <w:spacing w:before="20" w:after="20"/>
      </w:pPr>
      <w:r>
        <w:rPr>
          <w:sz w:val="21"/>
        </w:rPr>
        <w:t xml:space="preserve">   2.3  Physics-Consistent Synthetic Data Augmentation</w:t>
      </w:r>
      <w:r>
        <w:rPr>
          <w:sz w:val="21"/>
        </w:rPr>
        <w:tab/>
        <w:t>7</w:t>
      </w:r>
    </w:p>
    <w:p>
      <w:pPr>
        <w:tabs>
          <w:tab w:pos="7920" w:val="left"/>
        </w:tabs>
        <w:spacing w:before="20" w:after="20"/>
      </w:pPr>
      <w:r>
        <w:rPr>
          <w:sz w:val="21"/>
        </w:rPr>
        <w:t xml:space="preserve">   2.4  Model Selection Criteria</w:t>
      </w:r>
      <w:r>
        <w:rPr>
          <w:sz w:val="21"/>
        </w:rPr>
        <w:tab/>
        <w:t>8</w:t>
      </w:r>
    </w:p>
    <w:p>
      <w:pPr>
        <w:tabs>
          <w:tab w:pos="7920" w:val="left"/>
        </w:tabs>
        <w:spacing w:before="20" w:after="20"/>
      </w:pPr>
      <w:r>
        <w:rPr>
          <w:b/>
          <w:sz w:val="21"/>
        </w:rPr>
        <w:t>3.  Structural Surrogate Model</w:t>
      </w:r>
      <w:r>
        <w:rPr>
          <w:sz w:val="21"/>
        </w:rPr>
        <w:tab/>
        <w:t>9</w:t>
      </w:r>
    </w:p>
    <w:p>
      <w:pPr>
        <w:tabs>
          <w:tab w:pos="7920" w:val="left"/>
        </w:tabs>
        <w:spacing w:before="20" w:after="20"/>
      </w:pPr>
      <w:r>
        <w:rPr>
          <w:sz w:val="21"/>
        </w:rPr>
        <w:t xml:space="preserve">   3.1  Electromechanical Background</w:t>
      </w:r>
      <w:r>
        <w:rPr>
          <w:sz w:val="21"/>
        </w:rPr>
        <w:tab/>
        <w:t>9</w:t>
      </w:r>
    </w:p>
    <w:p>
      <w:pPr>
        <w:tabs>
          <w:tab w:pos="7920" w:val="left"/>
        </w:tabs>
        <w:spacing w:before="20" w:after="20"/>
      </w:pPr>
      <w:r>
        <w:rPr>
          <w:sz w:val="21"/>
        </w:rPr>
        <w:t xml:space="preserve">   3.2  Model Comparison &amp; Selection</w:t>
      </w:r>
      <w:r>
        <w:rPr>
          <w:sz w:val="21"/>
        </w:rPr>
        <w:tab/>
        <w:t>10</w:t>
      </w:r>
    </w:p>
    <w:p>
      <w:pPr>
        <w:tabs>
          <w:tab w:pos="7920" w:val="left"/>
        </w:tabs>
        <w:spacing w:before="20" w:after="20"/>
      </w:pPr>
      <w:r>
        <w:rPr>
          <w:sz w:val="21"/>
        </w:rPr>
        <w:t xml:space="preserve">   3.3  Validation &amp; Residual Analysis</w:t>
      </w:r>
      <w:r>
        <w:rPr>
          <w:sz w:val="21"/>
        </w:rPr>
        <w:tab/>
        <w:t>11</w:t>
      </w:r>
    </w:p>
    <w:p>
      <w:pPr>
        <w:tabs>
          <w:tab w:pos="7920" w:val="left"/>
        </w:tabs>
        <w:spacing w:before="20" w:after="20"/>
      </w:pPr>
      <w:r>
        <w:rPr>
          <w:b/>
          <w:sz w:val="21"/>
        </w:rPr>
        <w:t>4.  Aerodynamic Surrogate Model</w:t>
      </w:r>
      <w:r>
        <w:rPr>
          <w:sz w:val="21"/>
        </w:rPr>
        <w:tab/>
        <w:t>12</w:t>
      </w:r>
    </w:p>
    <w:p>
      <w:pPr>
        <w:tabs>
          <w:tab w:pos="7920" w:val="left"/>
        </w:tabs>
        <w:spacing w:before="20" w:after="20"/>
      </w:pPr>
      <w:r>
        <w:rPr>
          <w:sz w:val="21"/>
        </w:rPr>
        <w:t xml:space="preserve">   4.1  Aerodynamic Modelling Challenges</w:t>
      </w:r>
      <w:r>
        <w:rPr>
          <w:sz w:val="21"/>
        </w:rPr>
        <w:tab/>
        <w:t>12</w:t>
      </w:r>
    </w:p>
    <w:p>
      <w:pPr>
        <w:tabs>
          <w:tab w:pos="7920" w:val="left"/>
        </w:tabs>
        <w:spacing w:before="20" w:after="20"/>
      </w:pPr>
      <w:r>
        <w:rPr>
          <w:sz w:val="21"/>
        </w:rPr>
        <w:t xml:space="preserve">   4.2  Original vs. Augmented Data Comparison</w:t>
      </w:r>
      <w:r>
        <w:rPr>
          <w:sz w:val="21"/>
        </w:rPr>
        <w:tab/>
        <w:t>13</w:t>
      </w:r>
    </w:p>
    <w:p>
      <w:pPr>
        <w:tabs>
          <w:tab w:pos="7920" w:val="left"/>
        </w:tabs>
        <w:spacing w:before="20" w:after="20"/>
      </w:pPr>
      <w:r>
        <w:rPr>
          <w:sz w:val="21"/>
        </w:rPr>
        <w:t xml:space="preserve">   4.3  MLP Architecture &amp; Training</w:t>
      </w:r>
      <w:r>
        <w:rPr>
          <w:sz w:val="21"/>
        </w:rPr>
        <w:tab/>
        <w:t>14</w:t>
      </w:r>
    </w:p>
    <w:p>
      <w:pPr>
        <w:tabs>
          <w:tab w:pos="7920" w:val="left"/>
        </w:tabs>
        <w:spacing w:before="20" w:after="20"/>
      </w:pPr>
      <w:r>
        <w:rPr>
          <w:b/>
          <w:sz w:val="21"/>
        </w:rPr>
        <w:t>5.  Integrated Chained Framework</w:t>
      </w:r>
      <w:r>
        <w:rPr>
          <w:sz w:val="21"/>
        </w:rPr>
        <w:tab/>
        <w:t>15</w:t>
      </w:r>
    </w:p>
    <w:p>
      <w:pPr>
        <w:tabs>
          <w:tab w:pos="7920" w:val="left"/>
        </w:tabs>
        <w:spacing w:before="20" w:after="20"/>
      </w:pPr>
      <w:r>
        <w:rPr>
          <w:sz w:val="21"/>
        </w:rPr>
        <w:t xml:space="preserve">   5.1  Full-Pipeline Performance</w:t>
      </w:r>
      <w:r>
        <w:rPr>
          <w:sz w:val="21"/>
        </w:rPr>
        <w:tab/>
        <w:t>15</w:t>
      </w:r>
    </w:p>
    <w:p>
      <w:pPr>
        <w:tabs>
          <w:tab w:pos="7920" w:val="left"/>
        </w:tabs>
        <w:spacing w:before="20" w:after="20"/>
      </w:pPr>
      <w:r>
        <w:rPr>
          <w:sz w:val="21"/>
        </w:rPr>
        <w:t xml:space="preserve">   5.2  Chained Validation Results</w:t>
      </w:r>
      <w:r>
        <w:rPr>
          <w:sz w:val="21"/>
        </w:rPr>
        <w:tab/>
        <w:t>16</w:t>
      </w:r>
    </w:p>
    <w:p>
      <w:pPr>
        <w:tabs>
          <w:tab w:pos="7920" w:val="left"/>
        </w:tabs>
        <w:spacing w:before="20" w:after="20"/>
      </w:pPr>
      <w:r>
        <w:rPr>
          <w:b/>
          <w:sz w:val="21"/>
        </w:rPr>
        <w:t>6.  Aerodynamic Characterization</w:t>
      </w:r>
      <w:r>
        <w:rPr>
          <w:sz w:val="21"/>
        </w:rPr>
        <w:tab/>
        <w:t>17</w:t>
      </w:r>
    </w:p>
    <w:p>
      <w:pPr>
        <w:tabs>
          <w:tab w:pos="7920" w:val="left"/>
        </w:tabs>
        <w:spacing w:before="20" w:after="20"/>
      </w:pPr>
      <w:r>
        <w:rPr>
          <w:b/>
          <w:sz w:val="21"/>
        </w:rPr>
        <w:t>7.  Error Analysis &amp; Model Limitations</w:t>
      </w:r>
      <w:r>
        <w:rPr>
          <w:sz w:val="21"/>
        </w:rPr>
        <w:tab/>
        <w:t>18</w:t>
      </w:r>
    </w:p>
    <w:p>
      <w:pPr>
        <w:tabs>
          <w:tab w:pos="7920" w:val="left"/>
        </w:tabs>
        <w:spacing w:before="20" w:after="20"/>
      </w:pPr>
      <w:r>
        <w:rPr>
          <w:sz w:val="21"/>
        </w:rPr>
        <w:t xml:space="preserve">   7.1  Pitch-Angle Dependence of Error</w:t>
      </w:r>
      <w:r>
        <w:rPr>
          <w:sz w:val="21"/>
        </w:rPr>
        <w:tab/>
        <w:t>18</w:t>
      </w:r>
    </w:p>
    <w:p>
      <w:pPr>
        <w:tabs>
          <w:tab w:pos="7920" w:val="left"/>
        </w:tabs>
        <w:spacing w:before="20" w:after="20"/>
      </w:pPr>
      <w:r>
        <w:rPr>
          <w:sz w:val="21"/>
        </w:rPr>
        <w:t xml:space="preserve">   7.2  Key Findings &amp; Confidence Bounds</w:t>
      </w:r>
      <w:r>
        <w:rPr>
          <w:sz w:val="21"/>
        </w:rPr>
        <w:tab/>
        <w:t>19</w:t>
      </w:r>
    </w:p>
    <w:p>
      <w:pPr>
        <w:tabs>
          <w:tab w:pos="7920" w:val="left"/>
        </w:tabs>
        <w:spacing w:before="20" w:after="20"/>
      </w:pPr>
      <w:r>
        <w:rPr>
          <w:b/>
          <w:sz w:val="21"/>
        </w:rPr>
        <w:t>8.  Inverse Mapping &amp; Voltage Control</w:t>
      </w:r>
      <w:r>
        <w:rPr>
          <w:sz w:val="21"/>
        </w:rPr>
        <w:tab/>
        <w:t>20</w:t>
      </w:r>
    </w:p>
    <w:p>
      <w:pPr>
        <w:tabs>
          <w:tab w:pos="7920" w:val="left"/>
        </w:tabs>
        <w:spacing w:before="20" w:after="20"/>
      </w:pPr>
      <w:r>
        <w:rPr>
          <w:sz w:val="21"/>
        </w:rPr>
        <w:t xml:space="preserve">   8.1  Inverse Search Algorithm</w:t>
      </w:r>
      <w:r>
        <w:rPr>
          <w:sz w:val="21"/>
        </w:rPr>
        <w:tab/>
        <w:t>20</w:t>
      </w:r>
    </w:p>
    <w:p>
      <w:pPr>
        <w:tabs>
          <w:tab w:pos="7920" w:val="left"/>
        </w:tabs>
        <w:spacing w:before="20" w:after="20"/>
      </w:pPr>
      <w:r>
        <w:rPr>
          <w:sz w:val="21"/>
        </w:rPr>
        <w:t xml:space="preserve">   8.2  Example Results</w:t>
      </w:r>
      <w:r>
        <w:rPr>
          <w:sz w:val="21"/>
        </w:rPr>
        <w:tab/>
        <w:t>21</w:t>
      </w:r>
    </w:p>
    <w:p>
      <w:pPr>
        <w:tabs>
          <w:tab w:pos="7920" w:val="left"/>
        </w:tabs>
        <w:spacing w:before="20" w:after="20"/>
      </w:pPr>
      <w:r>
        <w:rPr>
          <w:b/>
          <w:sz w:val="21"/>
        </w:rPr>
        <w:t>9.  Software Toolkit &amp; Implementation</w:t>
      </w:r>
      <w:r>
        <w:rPr>
          <w:sz w:val="21"/>
        </w:rPr>
        <w:tab/>
        <w:t>22</w:t>
      </w:r>
    </w:p>
    <w:p>
      <w:pPr>
        <w:tabs>
          <w:tab w:pos="7920" w:val="left"/>
        </w:tabs>
        <w:spacing w:before="20" w:after="20"/>
      </w:pPr>
      <w:r>
        <w:rPr>
          <w:sz w:val="21"/>
        </w:rPr>
        <w:t xml:space="preserve">   9.1  Project Structure</w:t>
      </w:r>
      <w:r>
        <w:rPr>
          <w:sz w:val="21"/>
        </w:rPr>
        <w:tab/>
        <w:t>22</w:t>
      </w:r>
    </w:p>
    <w:p>
      <w:pPr>
        <w:tabs>
          <w:tab w:pos="7920" w:val="left"/>
        </w:tabs>
        <w:spacing w:before="20" w:after="20"/>
      </w:pPr>
      <w:r>
        <w:rPr>
          <w:sz w:val="21"/>
        </w:rPr>
        <w:t xml:space="preserve">   9.2  Quick-Start Guide</w:t>
      </w:r>
      <w:r>
        <w:rPr>
          <w:sz w:val="21"/>
        </w:rPr>
        <w:tab/>
        <w:t>23</w:t>
      </w:r>
    </w:p>
    <w:p>
      <w:pPr>
        <w:tabs>
          <w:tab w:pos="7920" w:val="left"/>
        </w:tabs>
        <w:spacing w:before="20" w:after="20"/>
      </w:pPr>
      <w:r>
        <w:rPr>
          <w:b/>
          <w:sz w:val="21"/>
        </w:rPr>
        <w:t>10.  Conclusions &amp; Future Work</w:t>
      </w:r>
      <w:r>
        <w:rPr>
          <w:sz w:val="21"/>
        </w:rPr>
        <w:tab/>
        <w:t>24</w:t>
      </w:r>
    </w:p>
    <w:p>
      <w:pPr>
        <w:tabs>
          <w:tab w:pos="7920" w:val="left"/>
        </w:tabs>
        <w:spacing w:before="20" w:after="20"/>
      </w:pPr>
      <w:r>
        <w:rPr>
          <w:sz w:val="21"/>
        </w:rPr>
        <w:t xml:space="preserve">   10.1  Key Achievements</w:t>
      </w:r>
      <w:r>
        <w:rPr>
          <w:sz w:val="21"/>
        </w:rPr>
        <w:tab/>
        <w:t>24</w:t>
      </w:r>
    </w:p>
    <w:p>
      <w:pPr>
        <w:tabs>
          <w:tab w:pos="7920" w:val="left"/>
        </w:tabs>
        <w:spacing w:before="20" w:after="20"/>
      </w:pPr>
      <w:r>
        <w:rPr>
          <w:sz w:val="21"/>
        </w:rPr>
        <w:t xml:space="preserve">   10.2  Recommendations for Next Phase</w:t>
      </w:r>
      <w:r>
        <w:rPr>
          <w:sz w:val="21"/>
        </w:rPr>
        <w:tab/>
        <w:t>25</w:t>
      </w:r>
    </w:p>
    <w:p>
      <w:r>
        <w:br w:type="page"/>
      </w:r>
    </w:p>
    <w:p>
      <w:pPr>
        <w:pStyle w:val="Heading1"/>
        <w:jc w:val="left"/>
      </w:pPr>
      <w:r>
        <w:rPr>
          <w:color w:val="1A2A6C"/>
          <w:sz w:val="30"/>
        </w:rPr>
        <w:t>1. EXECUTIVE SUMMARY</w:t>
      </w:r>
    </w:p>
    <w:p>
      <w:pPr>
        <w:ind w:firstLine="360"/>
        <w:jc w:val="both"/>
        <w:spacing w:before="40" w:after="60"/>
      </w:pPr>
      <w:r>
        <w:rPr>
          <w:sz w:val="22"/>
        </w:rPr>
        <w:t>This report documents the complete machine learning framework developed for aerodynamic and structural surrogate modelling of a piezoelectric morphing NACA 0009 wing, constituting the computational intelligence layer of the IDP Phase 2 project at RV College of Engineering. The overarching goal is to enable real-time, data-driven aerodynamic control of a continuously morphing wing using Macro Fiber Composite (MFC) piezoelectric actuators, bypassing the computational bottleneck of repeated high-fidelity simulations during optimization and control.</w:t>
      </w:r>
    </w:p>
    <w:p>
      <w:pPr>
        <w:ind w:firstLine="360"/>
        <w:jc w:val="both"/>
        <w:spacing w:before="40" w:after="60"/>
      </w:pPr>
      <w:r>
        <w:rPr>
          <w:sz w:val="22"/>
        </w:rPr>
        <w:t>Morphing wing technology represents a paradigm shift in aircraft design, offering the ability to continuously reshape lifting surfaces in response to varying flight conditions. Unlike conventional hinged flaps and ailerons — which introduce aerodynamic discontinuities and increase profile drag — morphing wings maintain smooth surface contours throughout deformation. The MFC-actuated NACA 0009 wing studied in this project achieves trailing-edge deflections in the range of −8.47 mm to −0.37 mm, enabling meaningful CL modulation across pitch angles from −4° to 20°.</w:t>
      </w:r>
    </w:p>
    <w:p>
      <w:pPr>
        <w:ind w:firstLine="360"/>
        <w:jc w:val="both"/>
        <w:spacing w:before="40" w:after="60"/>
      </w:pPr>
      <w:r>
        <w:rPr>
          <w:sz w:val="22"/>
        </w:rPr>
        <w:t>The ML framework consists of two coupled surrogate models operating in cascade: (1) a structural surrogate mapping MFC voltage inputs to wing deflection, and (2) an aerodynamic surrogate mapping deflection and pitch angle to CL and CD. Together, they form a chained inference pipeline that predicts aerodynamic performance directly from actuator voltages, bridging the gap between electrical control signals and aerodynamic output with millisecond inference latency.</w:t>
      </w:r>
    </w:p>
    <w:p>
      <w:pPr>
        <w:pStyle w:val="Heading3"/>
        <w:jc w:val="left"/>
      </w:pPr>
      <w:r>
        <w:rPr>
          <w:color w:val="2374AB"/>
          <w:sz w:val="23"/>
        </w:rPr>
        <w:t>Key Performance Results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448"/>
            <w:shd w:val="clear" w:color="auto" w:fill="1A2A6C"/>
          </w:tcPr>
          <w:p>
            <w:pPr>
              <w:jc w:val="center"/>
            </w:pPr>
            <w:r>
              <w:rPr>
                <w:b/>
                <w:color w:val="FFFFFF"/>
                <w:sz w:val="20"/>
              </w:rPr>
              <w:t>Surrogate Component</w:t>
            </w:r>
          </w:p>
        </w:tc>
        <w:tc>
          <w:tcPr>
            <w:tcW w:type="dxa" w:w="2160"/>
            <w:shd w:val="clear" w:color="auto" w:fill="1A2A6C"/>
          </w:tcPr>
          <w:p>
            <w:pPr>
              <w:jc w:val="center"/>
            </w:pPr>
            <w:r>
              <w:rPr>
                <w:b/>
                <w:color w:val="FFFFFF"/>
                <w:sz w:val="20"/>
              </w:rPr>
              <w:t>Model</w:t>
            </w:r>
          </w:p>
        </w:tc>
        <w:tc>
          <w:tcPr>
            <w:tcW w:type="dxa" w:w="2592"/>
            <w:shd w:val="clear" w:color="auto" w:fill="1A2A6C"/>
          </w:tcPr>
          <w:p>
            <w:pPr>
              <w:jc w:val="center"/>
            </w:pPr>
            <w:r>
              <w:rPr>
                <w:b/>
                <w:color w:val="FFFFFF"/>
                <w:sz w:val="20"/>
              </w:rPr>
              <w:t>Primary Metric</w:t>
            </w:r>
          </w:p>
        </w:tc>
        <w:tc>
          <w:tcPr>
            <w:tcW w:type="dxa" w:w="1296"/>
            <w:shd w:val="clear" w:color="auto" w:fill="1A2A6C"/>
          </w:tcPr>
          <w:p>
            <w:pPr>
              <w:jc w:val="center"/>
            </w:pPr>
            <w:r>
              <w:rPr>
                <w:b/>
                <w:color w:val="FFFFFF"/>
                <w:sz w:val="20"/>
              </w:rPr>
              <w:t>Value</w:t>
            </w:r>
          </w:p>
        </w:tc>
        <w:tc>
          <w:tcPr>
            <w:tcW w:type="dxa" w:w="1584"/>
            <w:shd w:val="clear" w:color="auto" w:fill="1A2A6C"/>
          </w:tcPr>
          <w:p>
            <w:pPr>
              <w:jc w:val="center"/>
            </w:pPr>
            <w:r>
              <w:rPr>
                <w:b/>
                <w:color w:val="FFFFFF"/>
                <w:sz w:val="20"/>
              </w:rPr>
              <w:t>Status</w:t>
            </w:r>
          </w:p>
        </w:tc>
      </w:tr>
      <w:tr>
        <w:tc>
          <w:tcPr>
            <w:tcW w:type="dxa" w:w="2448"/>
            <w:shd w:val="clear" w:color="auto" w:fill="EBF3FB"/>
          </w:tcPr>
          <w:p>
            <w:pPr>
              <w:jc w:val="center"/>
            </w:pPr>
            <w:r>
              <w:rPr>
                <w:sz w:val="20"/>
              </w:rPr>
              <w:t>Structural</w:t>
            </w:r>
          </w:p>
        </w:tc>
        <w:tc>
          <w:tcPr>
            <w:tcW w:type="dxa" w:w="2160"/>
            <w:shd w:val="clear" w:color="auto" w:fill="EBF3FB"/>
          </w:tcPr>
          <w:p>
            <w:pPr>
              <w:jc w:val="center"/>
            </w:pPr>
            <w:r>
              <w:rPr>
                <w:sz w:val="20"/>
              </w:rPr>
              <w:t>Linear Regression</w:t>
            </w:r>
          </w:p>
        </w:tc>
        <w:tc>
          <w:tcPr>
            <w:tcW w:type="dxa" w:w="2592"/>
            <w:shd w:val="clear" w:color="auto" w:fill="EBF3FB"/>
          </w:tcPr>
          <w:p>
            <w:pPr>
              <w:jc w:val="center"/>
            </w:pPr>
            <w:r>
              <w:rPr>
                <w:sz w:val="20"/>
              </w:rPr>
              <w:t>R²</w:t>
            </w:r>
          </w:p>
        </w:tc>
        <w:tc>
          <w:tcPr>
            <w:tcW w:type="dxa" w:w="1296"/>
            <w:shd w:val="clear" w:color="auto" w:fill="EBF3FB"/>
          </w:tcPr>
          <w:p>
            <w:pPr>
              <w:jc w:val="center"/>
            </w:pPr>
            <w:r>
              <w:rPr>
                <w:sz w:val="20"/>
              </w:rPr>
              <w:t>0.999998</w:t>
            </w:r>
          </w:p>
        </w:tc>
        <w:tc>
          <w:tcPr>
            <w:tcW w:type="dxa" w:w="1584"/>
            <w:shd w:val="clear" w:color="auto" w:fill="EBF3FB"/>
          </w:tcPr>
          <w:p>
            <w:pPr>
              <w:jc w:val="center"/>
            </w:pPr>
            <w:r>
              <w:rPr>
                <w:sz w:val="20"/>
              </w:rPr>
              <w:t>✓ Selected</w:t>
            </w:r>
          </w:p>
        </w:tc>
      </w:tr>
      <w:tr>
        <w:tc>
          <w:tcPr>
            <w:tcW w:type="dxa" w:w="2448"/>
            <w:shd w:val="clear" w:color="auto" w:fill="FFFFFF"/>
          </w:tcPr>
          <w:p>
            <w:pPr>
              <w:jc w:val="center"/>
            </w:pPr>
            <w:r>
              <w:rPr>
                <w:sz w:val="20"/>
              </w:rPr>
              <w:t>Structural</w:t>
            </w:r>
          </w:p>
        </w:tc>
        <w:tc>
          <w:tcPr>
            <w:tcW w:type="dxa" w:w="2160"/>
            <w:shd w:val="clear" w:color="auto" w:fill="FFFFFF"/>
          </w:tcPr>
          <w:p>
            <w:pPr>
              <w:jc w:val="center"/>
            </w:pPr>
            <w:r>
              <w:rPr>
                <w:sz w:val="20"/>
              </w:rPr>
              <w:t>Linear Regression</w:t>
            </w:r>
          </w:p>
        </w:tc>
        <w:tc>
          <w:tcPr>
            <w:tcW w:type="dxa" w:w="2592"/>
            <w:shd w:val="clear" w:color="auto" w:fill="FFFFFF"/>
          </w:tcPr>
          <w:p>
            <w:pPr>
              <w:jc w:val="center"/>
            </w:pPr>
            <w:r>
              <w:rPr>
                <w:sz w:val="20"/>
              </w:rPr>
              <w:t>MAE (mm)</w:t>
            </w:r>
          </w:p>
        </w:tc>
        <w:tc>
          <w:tcPr>
            <w:tcW w:type="dxa" w:w="1296"/>
            <w:shd w:val="clear" w:color="auto" w:fill="FFFFFF"/>
          </w:tcPr>
          <w:p>
            <w:pPr>
              <w:jc w:val="center"/>
            </w:pPr>
            <w:r>
              <w:rPr>
                <w:sz w:val="20"/>
              </w:rPr>
              <w:t>0.00164</w:t>
            </w:r>
          </w:p>
        </w:tc>
        <w:tc>
          <w:tcPr>
            <w:tcW w:type="dxa" w:w="1584"/>
            <w:shd w:val="clear" w:color="auto" w:fill="FFFFFF"/>
          </w:tcPr>
          <w:p>
            <w:pPr>
              <w:jc w:val="center"/>
            </w:pPr>
            <w:r>
              <w:rPr>
                <w:sz w:val="20"/>
              </w:rPr>
              <w:t>✓ Selected</w:t>
            </w:r>
          </w:p>
        </w:tc>
      </w:tr>
      <w:tr>
        <w:tc>
          <w:tcPr>
            <w:tcW w:type="dxa" w:w="2448"/>
            <w:shd w:val="clear" w:color="auto" w:fill="EBF3FB"/>
          </w:tcPr>
          <w:p>
            <w:pPr>
              <w:jc w:val="center"/>
            </w:pPr>
            <w:r>
              <w:rPr>
                <w:sz w:val="20"/>
              </w:rPr>
              <w:t>Aerodynamic CL</w:t>
            </w:r>
          </w:p>
        </w:tc>
        <w:tc>
          <w:tcPr>
            <w:tcW w:type="dxa" w:w="2160"/>
            <w:shd w:val="clear" w:color="auto" w:fill="EBF3FB"/>
          </w:tcPr>
          <w:p>
            <w:pPr>
              <w:jc w:val="center"/>
            </w:pPr>
            <w:r>
              <w:rPr>
                <w:sz w:val="20"/>
              </w:rPr>
              <w:t>MLP (augmented)</w:t>
            </w:r>
          </w:p>
        </w:tc>
        <w:tc>
          <w:tcPr>
            <w:tcW w:type="dxa" w:w="2592"/>
            <w:shd w:val="clear" w:color="auto" w:fill="EBF3FB"/>
          </w:tcPr>
          <w:p>
            <w:pPr>
              <w:jc w:val="center"/>
            </w:pPr>
            <w:r>
              <w:rPr>
                <w:sz w:val="20"/>
              </w:rPr>
              <w:t>R²</w:t>
            </w:r>
          </w:p>
        </w:tc>
        <w:tc>
          <w:tcPr>
            <w:tcW w:type="dxa" w:w="1296"/>
            <w:shd w:val="clear" w:color="auto" w:fill="EBF3FB"/>
          </w:tcPr>
          <w:p>
            <w:pPr>
              <w:jc w:val="center"/>
            </w:pPr>
            <w:r>
              <w:rPr>
                <w:sz w:val="20"/>
              </w:rPr>
              <w:t>0.998</w:t>
            </w:r>
          </w:p>
        </w:tc>
        <w:tc>
          <w:tcPr>
            <w:tcW w:type="dxa" w:w="1584"/>
            <w:shd w:val="clear" w:color="auto" w:fill="EBF3FB"/>
          </w:tcPr>
          <w:p>
            <w:pPr>
              <w:jc w:val="center"/>
            </w:pPr>
            <w:r>
              <w:rPr>
                <w:sz w:val="20"/>
              </w:rPr>
              <w:t>✓ Selected</w:t>
            </w:r>
          </w:p>
        </w:tc>
      </w:tr>
      <w:tr>
        <w:tc>
          <w:tcPr>
            <w:tcW w:type="dxa" w:w="2448"/>
            <w:shd w:val="clear" w:color="auto" w:fill="FFFFFF"/>
          </w:tcPr>
          <w:p>
            <w:pPr>
              <w:jc w:val="center"/>
            </w:pPr>
            <w:r>
              <w:rPr>
                <w:sz w:val="20"/>
              </w:rPr>
              <w:t>Aerodynamic CL</w:t>
            </w:r>
          </w:p>
        </w:tc>
        <w:tc>
          <w:tcPr>
            <w:tcW w:type="dxa" w:w="2160"/>
            <w:shd w:val="clear" w:color="auto" w:fill="FFFFFF"/>
          </w:tcPr>
          <w:p>
            <w:pPr>
              <w:jc w:val="center"/>
            </w:pPr>
            <w:r>
              <w:rPr>
                <w:sz w:val="20"/>
              </w:rPr>
              <w:t>MLP (augmented)</w:t>
            </w:r>
          </w:p>
        </w:tc>
        <w:tc>
          <w:tcPr>
            <w:tcW w:type="dxa" w:w="2592"/>
            <w:shd w:val="clear" w:color="auto" w:fill="FFFFFF"/>
          </w:tcPr>
          <w:p>
            <w:pPr>
              <w:jc w:val="center"/>
            </w:pPr>
            <w:r>
              <w:rPr>
                <w:sz w:val="20"/>
              </w:rPr>
              <w:t>MAE</w:t>
            </w:r>
          </w:p>
        </w:tc>
        <w:tc>
          <w:tcPr>
            <w:tcW w:type="dxa" w:w="1296"/>
            <w:shd w:val="clear" w:color="auto" w:fill="FFFFFF"/>
          </w:tcPr>
          <w:p>
            <w:pPr>
              <w:jc w:val="center"/>
            </w:pPr>
            <w:r>
              <w:rPr>
                <w:sz w:val="20"/>
              </w:rPr>
              <w:t>0.0022</w:t>
            </w:r>
          </w:p>
        </w:tc>
        <w:tc>
          <w:tcPr>
            <w:tcW w:type="dxa" w:w="1584"/>
            <w:shd w:val="clear" w:color="auto" w:fill="FFFFFF"/>
          </w:tcPr>
          <w:p>
            <w:pPr>
              <w:jc w:val="center"/>
            </w:pPr>
            <w:r>
              <w:rPr>
                <w:sz w:val="20"/>
              </w:rPr>
              <w:t>✓ Selected</w:t>
            </w:r>
          </w:p>
        </w:tc>
      </w:tr>
      <w:tr>
        <w:tc>
          <w:tcPr>
            <w:tcW w:type="dxa" w:w="2448"/>
            <w:shd w:val="clear" w:color="auto" w:fill="EBF3FB"/>
          </w:tcPr>
          <w:p>
            <w:pPr>
              <w:jc w:val="center"/>
            </w:pPr>
            <w:r>
              <w:rPr>
                <w:sz w:val="20"/>
              </w:rPr>
              <w:t>Aerodynamic CD</w:t>
            </w:r>
          </w:p>
        </w:tc>
        <w:tc>
          <w:tcPr>
            <w:tcW w:type="dxa" w:w="2160"/>
            <w:shd w:val="clear" w:color="auto" w:fill="EBF3FB"/>
          </w:tcPr>
          <w:p>
            <w:pPr>
              <w:jc w:val="center"/>
            </w:pPr>
            <w:r>
              <w:rPr>
                <w:sz w:val="20"/>
              </w:rPr>
              <w:t>MLP (augmented)</w:t>
            </w:r>
          </w:p>
        </w:tc>
        <w:tc>
          <w:tcPr>
            <w:tcW w:type="dxa" w:w="2592"/>
            <w:shd w:val="clear" w:color="auto" w:fill="EBF3FB"/>
          </w:tcPr>
          <w:p>
            <w:pPr>
              <w:jc w:val="center"/>
            </w:pPr>
            <w:r>
              <w:rPr>
                <w:sz w:val="20"/>
              </w:rPr>
              <w:t>R²</w:t>
            </w:r>
          </w:p>
        </w:tc>
        <w:tc>
          <w:tcPr>
            <w:tcW w:type="dxa" w:w="1296"/>
            <w:shd w:val="clear" w:color="auto" w:fill="EBF3FB"/>
          </w:tcPr>
          <w:p>
            <w:pPr>
              <w:jc w:val="center"/>
            </w:pPr>
            <w:r>
              <w:rPr>
                <w:sz w:val="20"/>
              </w:rPr>
              <w:t>0.991</w:t>
            </w:r>
          </w:p>
        </w:tc>
        <w:tc>
          <w:tcPr>
            <w:tcW w:type="dxa" w:w="1584"/>
            <w:shd w:val="clear" w:color="auto" w:fill="EBF3FB"/>
          </w:tcPr>
          <w:p>
            <w:pPr>
              <w:jc w:val="center"/>
            </w:pPr>
            <w:r>
              <w:rPr>
                <w:sz w:val="20"/>
              </w:rPr>
              <w:t>✓ Selected</w:t>
            </w:r>
          </w:p>
        </w:tc>
      </w:tr>
      <w:tr>
        <w:tc>
          <w:tcPr>
            <w:tcW w:type="dxa" w:w="2448"/>
            <w:shd w:val="clear" w:color="auto" w:fill="FFFFFF"/>
          </w:tcPr>
          <w:p>
            <w:pPr>
              <w:jc w:val="center"/>
            </w:pPr>
            <w:r>
              <w:rPr>
                <w:sz w:val="20"/>
              </w:rPr>
              <w:t>Aerodynamic CD</w:t>
            </w:r>
          </w:p>
        </w:tc>
        <w:tc>
          <w:tcPr>
            <w:tcW w:type="dxa" w:w="2160"/>
            <w:shd w:val="clear" w:color="auto" w:fill="FFFFFF"/>
          </w:tcPr>
          <w:p>
            <w:pPr>
              <w:jc w:val="center"/>
            </w:pPr>
            <w:r>
              <w:rPr>
                <w:sz w:val="20"/>
              </w:rPr>
              <w:t>MLP (augmented)</w:t>
            </w:r>
          </w:p>
        </w:tc>
        <w:tc>
          <w:tcPr>
            <w:tcW w:type="dxa" w:w="2592"/>
            <w:shd w:val="clear" w:color="auto" w:fill="FFFFFF"/>
          </w:tcPr>
          <w:p>
            <w:pPr>
              <w:jc w:val="center"/>
            </w:pPr>
            <w:r>
              <w:rPr>
                <w:sz w:val="20"/>
              </w:rPr>
              <w:t>MAE</w:t>
            </w:r>
          </w:p>
        </w:tc>
        <w:tc>
          <w:tcPr>
            <w:tcW w:type="dxa" w:w="1296"/>
            <w:shd w:val="clear" w:color="auto" w:fill="FFFFFF"/>
          </w:tcPr>
          <w:p>
            <w:pPr>
              <w:jc w:val="center"/>
            </w:pPr>
            <w:r>
              <w:rPr>
                <w:sz w:val="20"/>
              </w:rPr>
              <w:t>0.0021</w:t>
            </w:r>
          </w:p>
        </w:tc>
        <w:tc>
          <w:tcPr>
            <w:tcW w:type="dxa" w:w="1584"/>
            <w:shd w:val="clear" w:color="auto" w:fill="FFFFFF"/>
          </w:tcPr>
          <w:p>
            <w:pPr>
              <w:jc w:val="center"/>
            </w:pPr>
            <w:r>
              <w:rPr>
                <w:sz w:val="20"/>
              </w:rPr>
              <w:t>✓ Selected</w:t>
            </w:r>
          </w:p>
        </w:tc>
      </w:tr>
      <w:tr>
        <w:tc>
          <w:tcPr>
            <w:tcW w:type="dxa" w:w="2448"/>
            <w:shd w:val="clear" w:color="auto" w:fill="EBF3FB"/>
          </w:tcPr>
          <w:p>
            <w:pPr>
              <w:jc w:val="center"/>
            </w:pPr>
            <w:r>
              <w:rPr>
                <w:sz w:val="20"/>
              </w:rPr>
              <w:t>Chained Pipeline</w:t>
            </w:r>
          </w:p>
        </w:tc>
        <w:tc>
          <w:tcPr>
            <w:tcW w:type="dxa" w:w="2160"/>
            <w:shd w:val="clear" w:color="auto" w:fill="EBF3FB"/>
          </w:tcPr>
          <w:p>
            <w:pPr>
              <w:jc w:val="center"/>
            </w:pPr>
            <w:r>
              <w:rPr>
                <w:sz w:val="20"/>
              </w:rPr>
              <w:t>Linear + MLP</w:t>
            </w:r>
          </w:p>
        </w:tc>
        <w:tc>
          <w:tcPr>
            <w:tcW w:type="dxa" w:w="2592"/>
            <w:shd w:val="clear" w:color="auto" w:fill="EBF3FB"/>
          </w:tcPr>
          <w:p>
            <w:pPr>
              <w:jc w:val="center"/>
            </w:pPr>
            <w:r>
              <w:rPr>
                <w:sz w:val="20"/>
              </w:rPr>
              <w:t>CL MAE (end-to-end)</w:t>
            </w:r>
          </w:p>
        </w:tc>
        <w:tc>
          <w:tcPr>
            <w:tcW w:type="dxa" w:w="1296"/>
            <w:shd w:val="clear" w:color="auto" w:fill="EBF3FB"/>
          </w:tcPr>
          <w:p>
            <w:pPr>
              <w:jc w:val="center"/>
            </w:pPr>
            <w:r>
              <w:rPr>
                <w:sz w:val="20"/>
              </w:rPr>
              <w:t>0.0022</w:t>
            </w:r>
          </w:p>
        </w:tc>
        <w:tc>
          <w:tcPr>
            <w:tcW w:type="dxa" w:w="1584"/>
            <w:shd w:val="clear" w:color="auto" w:fill="EBF3FB"/>
          </w:tcPr>
          <w:p>
            <w:pPr>
              <w:jc w:val="center"/>
            </w:pPr>
            <w:r>
              <w:rPr>
                <w:sz w:val="20"/>
              </w:rPr>
              <w:t>✓ Validated</w:t>
            </w:r>
          </w:p>
        </w:tc>
      </w:tr>
      <w:tr>
        <w:tc>
          <w:tcPr>
            <w:tcW w:type="dxa" w:w="2448"/>
            <w:shd w:val="clear" w:color="auto" w:fill="FFFFFF"/>
          </w:tcPr>
          <w:p>
            <w:pPr>
              <w:jc w:val="center"/>
            </w:pPr>
            <w:r>
              <w:rPr>
                <w:sz w:val="20"/>
              </w:rPr>
              <w:t>Chained Pipeline</w:t>
            </w:r>
          </w:p>
        </w:tc>
        <w:tc>
          <w:tcPr>
            <w:tcW w:type="dxa" w:w="2160"/>
            <w:shd w:val="clear" w:color="auto" w:fill="FFFFFF"/>
          </w:tcPr>
          <w:p>
            <w:pPr>
              <w:jc w:val="center"/>
            </w:pPr>
            <w:r>
              <w:rPr>
                <w:sz w:val="20"/>
              </w:rPr>
              <w:t>Linear + MLP</w:t>
            </w:r>
          </w:p>
        </w:tc>
        <w:tc>
          <w:tcPr>
            <w:tcW w:type="dxa" w:w="2592"/>
            <w:shd w:val="clear" w:color="auto" w:fill="FFFFFF"/>
          </w:tcPr>
          <w:p>
            <w:pPr>
              <w:jc w:val="center"/>
            </w:pPr>
            <w:r>
              <w:rPr>
                <w:sz w:val="20"/>
              </w:rPr>
              <w:t>CD MAE (end-to-end)</w:t>
            </w:r>
          </w:p>
        </w:tc>
        <w:tc>
          <w:tcPr>
            <w:tcW w:type="dxa" w:w="1296"/>
            <w:shd w:val="clear" w:color="auto" w:fill="FFFFFF"/>
          </w:tcPr>
          <w:p>
            <w:pPr>
              <w:jc w:val="center"/>
            </w:pPr>
            <w:r>
              <w:rPr>
                <w:sz w:val="20"/>
              </w:rPr>
              <w:t>0.0021</w:t>
            </w:r>
          </w:p>
        </w:tc>
        <w:tc>
          <w:tcPr>
            <w:tcW w:type="dxa" w:w="1584"/>
            <w:shd w:val="clear" w:color="auto" w:fill="FFFFFF"/>
          </w:tcPr>
          <w:p>
            <w:pPr>
              <w:jc w:val="center"/>
            </w:pPr>
            <w:r>
              <w:rPr>
                <w:sz w:val="20"/>
              </w:rPr>
              <w:t>✓ Validated</w:t>
            </w:r>
          </w:p>
        </w:tc>
      </w:tr>
      <w:tr>
        <w:tc>
          <w:tcPr>
            <w:tcW w:type="dxa" w:w="2448"/>
            <w:shd w:val="clear" w:color="auto" w:fill="EBF3FB"/>
          </w:tcPr>
          <w:p>
            <w:pPr>
              <w:jc w:val="center"/>
            </w:pPr>
            <w:r>
              <w:rPr>
                <w:sz w:val="20"/>
              </w:rPr>
              <w:t>Inverse Control</w:t>
            </w:r>
          </w:p>
        </w:tc>
        <w:tc>
          <w:tcPr>
            <w:tcW w:type="dxa" w:w="2160"/>
            <w:shd w:val="clear" w:color="auto" w:fill="EBF3FB"/>
          </w:tcPr>
          <w:p>
            <w:pPr>
              <w:jc w:val="center"/>
            </w:pPr>
            <w:r>
              <w:rPr>
                <w:sz w:val="20"/>
              </w:rPr>
              <w:t>Grid Search + L-BFGS-B</w:t>
            </w:r>
          </w:p>
        </w:tc>
        <w:tc>
          <w:tcPr>
            <w:tcW w:type="dxa" w:w="2592"/>
            <w:shd w:val="clear" w:color="auto" w:fill="EBF3FB"/>
          </w:tcPr>
          <w:p>
            <w:pPr>
              <w:jc w:val="center"/>
            </w:pPr>
            <w:r>
              <w:rPr>
                <w:sz w:val="20"/>
              </w:rPr>
              <w:t>CL Tracking Error</w:t>
            </w:r>
          </w:p>
        </w:tc>
        <w:tc>
          <w:tcPr>
            <w:tcW w:type="dxa" w:w="1296"/>
            <w:shd w:val="clear" w:color="auto" w:fill="EBF3FB"/>
          </w:tcPr>
          <w:p>
            <w:pPr>
              <w:jc w:val="center"/>
            </w:pPr>
            <w:r>
              <w:rPr>
                <w:sz w:val="20"/>
              </w:rPr>
              <w:t>&lt; 0.001</w:t>
            </w:r>
          </w:p>
        </w:tc>
        <w:tc>
          <w:tcPr>
            <w:tcW w:type="dxa" w:w="1584"/>
            <w:shd w:val="clear" w:color="auto" w:fill="EBF3FB"/>
          </w:tcPr>
          <w:p>
            <w:pPr>
              <w:jc w:val="center"/>
            </w:pPr>
            <w:r>
              <w:rPr>
                <w:sz w:val="20"/>
              </w:rPr>
              <w:t>✓ Functional</w:t>
            </w:r>
          </w:p>
        </w:tc>
      </w:tr>
    </w:tbl>
    <w:p/>
    <w:p>
      <w:pPr>
        <w:ind w:firstLine="360"/>
        <w:jc w:val="both"/>
        <w:spacing w:before="40" w:after="60"/>
      </w:pPr>
      <w:r>
        <w:rPr>
          <w:sz w:val="22"/>
        </w:rPr>
        <w:t>These results demonstrate that the surrogate framework achieves engineering-grade accuracy sufficient for closed-loop aerodynamic control, design space exploration, and experimental validation planning. The structural surrogate's near-perfect R² is consistent with the linear constitutive behaviour of piezoelectric materials under the operating voltage range. The aerodynamic surrogate's improvement from R² = 0.70 to 0.991 for CD upon synthetic augmentation highlights the critical importance of data density in nonlinear aerodynamic modelling.</w:t>
      </w:r>
    </w:p>
    <w:p>
      <w:r>
        <w:br w:type="page"/>
      </w:r>
    </w:p>
    <w:p>
      <w:pPr>
        <w:pStyle w:val="Heading1"/>
        <w:jc w:val="left"/>
      </w:pPr>
      <w:r>
        <w:rPr>
          <w:color w:val="1A2A6C"/>
          <w:sz w:val="30"/>
        </w:rPr>
        <w:t>2. METHODOLOGY &amp; FRAMEWORK OVERVIEW</w:t>
      </w:r>
    </w:p>
    <w:p>
      <w:pPr>
        <w:pStyle w:val="Heading2"/>
        <w:jc w:val="left"/>
      </w:pPr>
      <w:r>
        <w:rPr>
          <w:color w:val="1A5C9C"/>
          <w:sz w:val="26"/>
        </w:rPr>
        <w:t>2.1 System Architecture</w:t>
      </w:r>
    </w:p>
    <w:p>
      <w:pPr>
        <w:ind w:firstLine="360"/>
        <w:jc w:val="both"/>
        <w:spacing w:before="40" w:after="60"/>
      </w:pPr>
      <w:r>
        <w:rPr>
          <w:sz w:val="22"/>
        </w:rPr>
        <w:t>The morphing wing surrogate framework is designed as a modular, two-stage inference pipeline that mirrors the physical causal chain governing the MFC-actuated wing system. The architecture is deliberately decomposed into independent structural and aerodynamic stages, rather than a single monolithic model mapping voltages directly to aerodynamic coefficients. This decomposition provides three critical advantages: (1) independent model validation at each stage using separate ground-truth datasets, (2) physical interpretability — the intermediate deflection state is a physically meaningful quantity that can be verified experimentally, and (3) modular replacement, where either surrogate can be updated or retrained independently as new simulation data becomes available.</w:t>
      </w:r>
    </w:p>
    <w:p>
      <w:pPr>
        <w:ind w:firstLine="360"/>
        <w:jc w:val="both"/>
        <w:spacing w:before="40" w:after="60"/>
      </w:pPr>
      <w:r>
        <w:rPr>
          <w:sz w:val="22"/>
        </w:rPr>
        <w:t>At the top level, the user (or a higher-level control algorithm) specifies MFC actuator voltages — specifically the lower-surface voltage V_lower ∈ [−500, −50] V and the upper-surface voltage V_upper ∈ [50, 1500] V. These voltage inputs are first passed through the structural surrogate, which produces a predicted trailing-edge deflection δ in millimetres. This deflection, combined with the current pitch angle α, is then passed to the aerodynamic surrogate, which outputs the predicted lift coefficient CL and drag coefficient CD. The full forward pass — from voltage inputs to aerodynamic coefficients — completes in under 1 millisecond on standard hardware, enabling real-time deployment in closed-loop control loops.</w:t>
      </w:r>
    </w:p>
    <w:p>
      <w:pPr>
        <w:jc w:val="center"/>
        <w:spacing w:before="80" w:after="20"/>
      </w:pPr>
      <w:r>
        <w:drawing>
          <wp:inline xmlns:a="http://schemas.openxmlformats.org/drawingml/2006/main" xmlns:pic="http://schemas.openxmlformats.org/drawingml/2006/picture">
            <wp:extent cx="5029200" cy="127911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29200" cy="1279112"/>
                    </a:xfrm>
                    <a:prstGeom prst="rect"/>
                  </pic:spPr>
                </pic:pic>
              </a:graphicData>
            </a:graphic>
          </wp:inline>
        </w:drawing>
      </w:r>
    </w:p>
    <w:p>
      <w:pPr>
        <w:jc w:val="center"/>
        <w:spacing w:before="0" w:after="160"/>
      </w:pPr>
      <w:r>
        <w:rPr>
          <w:i/>
          <w:color w:val="444444"/>
          <w:sz w:val="19"/>
        </w:rPr>
        <w:t>Figure 1: End-to-end surrogate modelling pipeline. MFC voltages feed the structural surrogate to predict trailing-edge deflection, which then feeds the aerodynamic surrogate (together with pitch angle) to predict lift and drag coefficients. The dashed feedback arrow indicates the inverse control path for voltage recommendation.</w:t>
      </w:r>
    </w:p>
    <w:p>
      <w:pPr>
        <w:ind w:firstLine="360"/>
        <w:jc w:val="both"/>
        <w:spacing w:before="40" w:after="60"/>
      </w:pPr>
      <w:r>
        <w:rPr>
          <w:sz w:val="22"/>
        </w:rPr>
        <w:t>The inverse control path — shown as a dashed feedback arrow in Figure 1 — operates in reverse: given a target CL and the current pitch angle, the inverse search algorithm queries the forward pipeline iteratively to find the voltage combination that best achieves the desired aerodynamic state. This inverse mapping is implemented as a two-stage grid-search and gradient-based optimization (Section 8), enabling aerodynamic setpoint tracking without requiring an analytically inverted model.</w:t>
      </w:r>
    </w:p>
    <w:p>
      <w:pPr>
        <w:pStyle w:val="Heading2"/>
        <w:jc w:val="left"/>
      </w:pPr>
      <w:r>
        <w:rPr>
          <w:color w:val="1A5C9C"/>
          <w:sz w:val="26"/>
        </w:rPr>
        <w:t>2.2 Data Sources</w:t>
      </w:r>
    </w:p>
    <w:p>
      <w:pPr>
        <w:pStyle w:val="Heading3"/>
        <w:jc w:val="left"/>
      </w:pPr>
      <w:r>
        <w:rPr>
          <w:color w:val="2374AB"/>
          <w:sz w:val="23"/>
        </w:rPr>
        <w:t>2.2.1 Structural Data — ANSYS Finite Element Analysis</w:t>
      </w:r>
    </w:p>
    <w:p>
      <w:pPr>
        <w:ind w:firstLine="360"/>
        <w:jc w:val="both"/>
        <w:spacing w:before="40" w:after="60"/>
      </w:pPr>
      <w:r>
        <w:rPr>
          <w:sz w:val="22"/>
        </w:rPr>
        <w:t>The structural dataset was generated using ANSYS Mechanical finite element analysis software, simulating the electromechanical response of the MFC-actuated NACA 0009 wing structure. MFC actuators (model M8557-P1 or equivalent) are bonded to the upper and lower surfaces of the wing's flexible trailing region. When a voltage differential is applied, the piezoelectric fibers within the MFC expand or contract, inducing bending moments that deform the trailing edge upward or downward.</w:t>
      </w:r>
    </w:p>
    <w:p>
      <w:pPr>
        <w:ind w:firstLine="360"/>
        <w:jc w:val="both"/>
        <w:spacing w:before="40" w:after="60"/>
      </w:pPr>
      <w:r>
        <w:rPr>
          <w:sz w:val="22"/>
        </w:rPr>
        <w:t>The FEA model captures the full anisotropic constitutive behaviour of the MFC patches, the fibre-reinforced composite wing skin, and the adhesive bonding layer between actuator and substrate. Shell elements are used for the wing skin, while solid piezoelectric elements model the MFC patches. The trailing-edge deflection is defined as the vertical displacement of the trailing-edge node at the chord's 95% location from the leading edge, measured from the undeformed baseline configuration.</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val="clear" w:color="auto" w:fill="1A2A6C"/>
          </w:tcPr>
          <w:p>
            <w:pPr>
              <w:jc w:val="center"/>
            </w:pPr>
            <w:r>
              <w:rPr>
                <w:b/>
                <w:color w:val="FFFFFF"/>
                <w:sz w:val="20"/>
              </w:rPr>
              <w:t>Parameter</w:t>
            </w:r>
          </w:p>
        </w:tc>
        <w:tc>
          <w:tcPr>
            <w:tcW w:type="dxa" w:w="2880"/>
            <w:shd w:val="clear" w:color="auto" w:fill="1A2A6C"/>
          </w:tcPr>
          <w:p>
            <w:pPr>
              <w:jc w:val="center"/>
            </w:pPr>
            <w:r>
              <w:rPr>
                <w:b/>
                <w:color w:val="FFFFFF"/>
                <w:sz w:val="20"/>
              </w:rPr>
              <w:t>Value / Range</w:t>
            </w:r>
          </w:p>
        </w:tc>
        <w:tc>
          <w:tcPr>
            <w:tcW w:type="dxa" w:w="3888"/>
            <w:shd w:val="clear" w:color="auto" w:fill="1A2A6C"/>
          </w:tcPr>
          <w:p>
            <w:pPr>
              <w:jc w:val="center"/>
            </w:pPr>
            <w:r>
              <w:rPr>
                <w:b/>
                <w:color w:val="FFFFFF"/>
                <w:sz w:val="20"/>
              </w:rPr>
              <w:t>Notes</w:t>
            </w:r>
          </w:p>
        </w:tc>
      </w:tr>
      <w:tr>
        <w:tc>
          <w:tcPr>
            <w:tcW w:type="dxa" w:w="2592"/>
            <w:shd w:val="clear" w:color="auto" w:fill="EBF3FB"/>
          </w:tcPr>
          <w:p>
            <w:pPr>
              <w:jc w:val="center"/>
            </w:pPr>
            <w:r>
              <w:rPr>
                <w:sz w:val="20"/>
              </w:rPr>
              <w:t>Dataset file</w:t>
            </w:r>
          </w:p>
        </w:tc>
        <w:tc>
          <w:tcPr>
            <w:tcW w:type="dxa" w:w="2880"/>
            <w:shd w:val="clear" w:color="auto" w:fill="EBF3FB"/>
          </w:tcPr>
          <w:p>
            <w:pPr>
              <w:jc w:val="center"/>
            </w:pPr>
            <w:r>
              <w:rPr>
                <w:sz w:val="20"/>
              </w:rPr>
              <w:t>Structure_samples.xlsx</w:t>
            </w:r>
          </w:p>
        </w:tc>
        <w:tc>
          <w:tcPr>
            <w:tcW w:type="dxa" w:w="3888"/>
            <w:shd w:val="clear" w:color="auto" w:fill="EBF3FB"/>
          </w:tcPr>
          <w:p>
            <w:pPr>
              <w:jc w:val="center"/>
            </w:pPr>
            <w:r>
              <w:rPr>
                <w:sz w:val="20"/>
              </w:rPr>
              <w:t>300 simulation rows</w:t>
            </w:r>
          </w:p>
        </w:tc>
      </w:tr>
      <w:tr>
        <w:tc>
          <w:tcPr>
            <w:tcW w:type="dxa" w:w="2592"/>
            <w:shd w:val="clear" w:color="auto" w:fill="FFFFFF"/>
          </w:tcPr>
          <w:p>
            <w:pPr>
              <w:jc w:val="center"/>
            </w:pPr>
            <w:r>
              <w:rPr>
                <w:sz w:val="20"/>
              </w:rPr>
              <w:t>Lower MFC voltage (V_lower)</w:t>
            </w:r>
          </w:p>
        </w:tc>
        <w:tc>
          <w:tcPr>
            <w:tcW w:type="dxa" w:w="2880"/>
            <w:shd w:val="clear" w:color="auto" w:fill="FFFFFF"/>
          </w:tcPr>
          <w:p>
            <w:pPr>
              <w:jc w:val="center"/>
            </w:pPr>
            <w:r>
              <w:rPr>
                <w:sz w:val="20"/>
              </w:rPr>
              <w:t>[−500, −50] V</w:t>
            </w:r>
          </w:p>
        </w:tc>
        <w:tc>
          <w:tcPr>
            <w:tcW w:type="dxa" w:w="3888"/>
            <w:shd w:val="clear" w:color="auto" w:fill="FFFFFF"/>
          </w:tcPr>
          <w:p>
            <w:pPr>
              <w:jc w:val="center"/>
            </w:pPr>
            <w:r>
              <w:rPr>
                <w:sz w:val="20"/>
              </w:rPr>
              <w:t>10 levels, step 50 V</w:t>
            </w:r>
          </w:p>
        </w:tc>
      </w:tr>
      <w:tr>
        <w:tc>
          <w:tcPr>
            <w:tcW w:type="dxa" w:w="2592"/>
            <w:shd w:val="clear" w:color="auto" w:fill="EBF3FB"/>
          </w:tcPr>
          <w:p>
            <w:pPr>
              <w:jc w:val="center"/>
            </w:pPr>
            <w:r>
              <w:rPr>
                <w:sz w:val="20"/>
              </w:rPr>
              <w:t>Upper MFC voltage (V_upper)</w:t>
            </w:r>
          </w:p>
        </w:tc>
        <w:tc>
          <w:tcPr>
            <w:tcW w:type="dxa" w:w="2880"/>
            <w:shd w:val="clear" w:color="auto" w:fill="EBF3FB"/>
          </w:tcPr>
          <w:p>
            <w:pPr>
              <w:jc w:val="center"/>
            </w:pPr>
            <w:r>
              <w:rPr>
                <w:sz w:val="20"/>
              </w:rPr>
              <w:t>[+50, +1500] V</w:t>
            </w:r>
          </w:p>
        </w:tc>
        <w:tc>
          <w:tcPr>
            <w:tcW w:type="dxa" w:w="3888"/>
            <w:shd w:val="clear" w:color="auto" w:fill="EBF3FB"/>
          </w:tcPr>
          <w:p>
            <w:pPr>
              <w:jc w:val="center"/>
            </w:pPr>
            <w:r>
              <w:rPr>
                <w:sz w:val="20"/>
              </w:rPr>
              <w:t>30 levels, step 50 V</w:t>
            </w:r>
          </w:p>
        </w:tc>
      </w:tr>
      <w:tr>
        <w:tc>
          <w:tcPr>
            <w:tcW w:type="dxa" w:w="2592"/>
            <w:shd w:val="clear" w:color="auto" w:fill="FFFFFF"/>
          </w:tcPr>
          <w:p>
            <w:pPr>
              <w:jc w:val="center"/>
            </w:pPr>
            <w:r>
              <w:rPr>
                <w:sz w:val="20"/>
              </w:rPr>
              <w:t>Voltage grid</w:t>
            </w:r>
          </w:p>
        </w:tc>
        <w:tc>
          <w:tcPr>
            <w:tcW w:type="dxa" w:w="2880"/>
            <w:shd w:val="clear" w:color="auto" w:fill="FFFFFF"/>
          </w:tcPr>
          <w:p>
            <w:pPr>
              <w:jc w:val="center"/>
            </w:pPr>
            <w:r>
              <w:rPr>
                <w:sz w:val="20"/>
              </w:rPr>
              <w:t>10 × 30 full factorial</w:t>
            </w:r>
          </w:p>
        </w:tc>
        <w:tc>
          <w:tcPr>
            <w:tcW w:type="dxa" w:w="3888"/>
            <w:shd w:val="clear" w:color="auto" w:fill="FFFFFF"/>
          </w:tcPr>
          <w:p>
            <w:pPr>
              <w:jc w:val="center"/>
            </w:pPr>
            <w:r>
              <w:rPr>
                <w:sz w:val="20"/>
              </w:rPr>
              <w:t>No missing combinations</w:t>
            </w:r>
          </w:p>
        </w:tc>
      </w:tr>
      <w:tr>
        <w:tc>
          <w:tcPr>
            <w:tcW w:type="dxa" w:w="2592"/>
            <w:shd w:val="clear" w:color="auto" w:fill="EBF3FB"/>
          </w:tcPr>
          <w:p>
            <w:pPr>
              <w:jc w:val="center"/>
            </w:pPr>
            <w:r>
              <w:rPr>
                <w:sz w:val="20"/>
              </w:rPr>
              <w:t>Output</w:t>
            </w:r>
          </w:p>
        </w:tc>
        <w:tc>
          <w:tcPr>
            <w:tcW w:type="dxa" w:w="2880"/>
            <w:shd w:val="clear" w:color="auto" w:fill="EBF3FB"/>
          </w:tcPr>
          <w:p>
            <w:pPr>
              <w:jc w:val="center"/>
            </w:pPr>
            <w:r>
              <w:rPr>
                <w:sz w:val="20"/>
              </w:rPr>
              <w:t>Trailing-edge deflection (mm)</w:t>
            </w:r>
          </w:p>
        </w:tc>
        <w:tc>
          <w:tcPr>
            <w:tcW w:type="dxa" w:w="3888"/>
            <w:shd w:val="clear" w:color="auto" w:fill="EBF3FB"/>
          </w:tcPr>
          <w:p>
            <w:pPr>
              <w:jc w:val="center"/>
            </w:pPr>
            <w:r>
              <w:rPr>
                <w:sz w:val="20"/>
              </w:rPr>
              <w:t>Range: [−8.47, −0.37] mm</w:t>
            </w:r>
          </w:p>
        </w:tc>
      </w:tr>
      <w:tr>
        <w:tc>
          <w:tcPr>
            <w:tcW w:type="dxa" w:w="2592"/>
            <w:shd w:val="clear" w:color="auto" w:fill="FFFFFF"/>
          </w:tcPr>
          <w:p>
            <w:pPr>
              <w:jc w:val="center"/>
            </w:pPr>
            <w:r>
              <w:rPr>
                <w:sz w:val="20"/>
              </w:rPr>
              <w:t>FEA solver</w:t>
            </w:r>
          </w:p>
        </w:tc>
        <w:tc>
          <w:tcPr>
            <w:tcW w:type="dxa" w:w="2880"/>
            <w:shd w:val="clear" w:color="auto" w:fill="FFFFFF"/>
          </w:tcPr>
          <w:p>
            <w:pPr>
              <w:jc w:val="center"/>
            </w:pPr>
            <w:r>
              <w:rPr>
                <w:sz w:val="20"/>
              </w:rPr>
              <w:t>ANSYS Mechanical</w:t>
            </w:r>
          </w:p>
        </w:tc>
        <w:tc>
          <w:tcPr>
            <w:tcW w:type="dxa" w:w="3888"/>
            <w:shd w:val="clear" w:color="auto" w:fill="FFFFFF"/>
          </w:tcPr>
          <w:p>
            <w:pPr>
              <w:jc w:val="center"/>
            </w:pPr>
            <w:r>
              <w:rPr>
                <w:sz w:val="20"/>
              </w:rPr>
              <w:t>Static structural analysis</w:t>
            </w:r>
          </w:p>
        </w:tc>
      </w:tr>
      <w:tr>
        <w:tc>
          <w:tcPr>
            <w:tcW w:type="dxa" w:w="2592"/>
            <w:shd w:val="clear" w:color="auto" w:fill="EBF3FB"/>
          </w:tcPr>
          <w:p>
            <w:pPr>
              <w:jc w:val="center"/>
            </w:pPr>
            <w:r>
              <w:rPr>
                <w:sz w:val="20"/>
              </w:rPr>
              <w:t>Element type</w:t>
            </w:r>
          </w:p>
        </w:tc>
        <w:tc>
          <w:tcPr>
            <w:tcW w:type="dxa" w:w="2880"/>
            <w:shd w:val="clear" w:color="auto" w:fill="EBF3FB"/>
          </w:tcPr>
          <w:p>
            <w:pPr>
              <w:jc w:val="center"/>
            </w:pPr>
            <w:r>
              <w:rPr>
                <w:sz w:val="20"/>
              </w:rPr>
              <w:t>Shell + Piezoelectric solid</w:t>
            </w:r>
          </w:p>
        </w:tc>
        <w:tc>
          <w:tcPr>
            <w:tcW w:type="dxa" w:w="3888"/>
            <w:shd w:val="clear" w:color="auto" w:fill="EBF3FB"/>
          </w:tcPr>
          <w:p>
            <w:pPr>
              <w:jc w:val="center"/>
            </w:pPr>
            <w:r>
              <w:rPr>
                <w:sz w:val="20"/>
              </w:rPr>
              <w:t>SHELL181 + SOLID226</w:t>
            </w:r>
          </w:p>
        </w:tc>
      </w:tr>
    </w:tbl>
    <w:p/>
    <w:p>
      <w:pPr>
        <w:pStyle w:val="Heading3"/>
        <w:jc w:val="left"/>
      </w:pPr>
      <w:r>
        <w:rPr>
          <w:color w:val="2374AB"/>
          <w:sz w:val="23"/>
        </w:rPr>
        <w:t>2.2.2 Aerodynamic Data — ANSYS Fluent CFD</w:t>
      </w:r>
    </w:p>
    <w:p>
      <w:pPr>
        <w:ind w:firstLine="360"/>
        <w:jc w:val="both"/>
        <w:spacing w:before="40" w:after="60"/>
      </w:pPr>
      <w:r>
        <w:rPr>
          <w:sz w:val="22"/>
        </w:rPr>
        <w:t>The aerodynamic dataset was generated using ANSYS Fluent computational fluid dynamics simulations of the morphed NACA 0009 wing at Reynolds number Re ≈ 3 × 10⁵ (low-speed wind-tunnel regime). Each CFD simulation involves meshing the morphed wing geometry (corresponding to a specific trailing-edge deflection), defining boundary conditions (inlet velocity, angle of attack, turbulence intensity), running a steady-state RANS simulation using the k-ω SST turbulence model, and post-processing to extract integrated lift and drag force coefficients.</w:t>
      </w:r>
    </w:p>
    <w:p>
      <w:pPr>
        <w:ind w:firstLine="360"/>
        <w:jc w:val="both"/>
        <w:spacing w:before="40" w:after="60"/>
      </w:pPr>
      <w:r>
        <w:rPr>
          <w:sz w:val="22"/>
        </w:rPr>
        <w:t>Due to the computational expense of each CFD run (approximately 2–4 hours per case on a 16-core workstation), the aerodynamic dataset is intentionally sparse compared to the structural dataset. Only three discrete upper voltage levels (50 V, 750 V, 1500 V) are simulated across 7 pitch angles, yielding 201 CFD data points. This sparsity motivates the physics-consistent synthetic augmentation strategy described in Section 2.3.</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val="clear" w:color="auto" w:fill="1A2A6C"/>
          </w:tcPr>
          <w:p>
            <w:pPr>
              <w:jc w:val="center"/>
            </w:pPr>
            <w:r>
              <w:rPr>
                <w:b/>
                <w:color w:val="FFFFFF"/>
                <w:sz w:val="20"/>
              </w:rPr>
              <w:t>Parameter</w:t>
            </w:r>
          </w:p>
        </w:tc>
        <w:tc>
          <w:tcPr>
            <w:tcW w:type="dxa" w:w="3168"/>
            <w:shd w:val="clear" w:color="auto" w:fill="1A2A6C"/>
          </w:tcPr>
          <w:p>
            <w:pPr>
              <w:jc w:val="center"/>
            </w:pPr>
            <w:r>
              <w:rPr>
                <w:b/>
                <w:color w:val="FFFFFF"/>
                <w:sz w:val="20"/>
              </w:rPr>
              <w:t>Value / Range</w:t>
            </w:r>
          </w:p>
        </w:tc>
        <w:tc>
          <w:tcPr>
            <w:tcW w:type="dxa" w:w="3312"/>
            <w:shd w:val="clear" w:color="auto" w:fill="1A2A6C"/>
          </w:tcPr>
          <w:p>
            <w:pPr>
              <w:jc w:val="center"/>
            </w:pPr>
            <w:r>
              <w:rPr>
                <w:b/>
                <w:color w:val="FFFFFF"/>
                <w:sz w:val="20"/>
              </w:rPr>
              <w:t>Notes</w:t>
            </w:r>
          </w:p>
        </w:tc>
      </w:tr>
      <w:tr>
        <w:tc>
          <w:tcPr>
            <w:tcW w:type="dxa" w:w="2880"/>
            <w:shd w:val="clear" w:color="auto" w:fill="EBF3FB"/>
          </w:tcPr>
          <w:p>
            <w:pPr>
              <w:jc w:val="center"/>
            </w:pPr>
            <w:r>
              <w:rPr>
                <w:sz w:val="20"/>
              </w:rPr>
              <w:t>Dataset file</w:t>
            </w:r>
          </w:p>
        </w:tc>
        <w:tc>
          <w:tcPr>
            <w:tcW w:type="dxa" w:w="3168"/>
            <w:shd w:val="clear" w:color="auto" w:fill="EBF3FB"/>
          </w:tcPr>
          <w:p>
            <w:pPr>
              <w:jc w:val="center"/>
            </w:pPr>
            <w:r>
              <w:rPr>
                <w:sz w:val="20"/>
              </w:rPr>
              <w:t>C_L C_D Values - Sheet1.csv</w:t>
            </w:r>
          </w:p>
        </w:tc>
        <w:tc>
          <w:tcPr>
            <w:tcW w:type="dxa" w:w="3312"/>
            <w:shd w:val="clear" w:color="auto" w:fill="EBF3FB"/>
          </w:tcPr>
          <w:p>
            <w:pPr>
              <w:jc w:val="center"/>
            </w:pPr>
            <w:r>
              <w:rPr>
                <w:sz w:val="20"/>
              </w:rPr>
              <w:t>201 CFD rows</w:t>
            </w:r>
          </w:p>
        </w:tc>
      </w:tr>
      <w:tr>
        <w:tc>
          <w:tcPr>
            <w:tcW w:type="dxa" w:w="2880"/>
            <w:shd w:val="clear" w:color="auto" w:fill="FFFFFF"/>
          </w:tcPr>
          <w:p>
            <w:pPr>
              <w:jc w:val="center"/>
            </w:pPr>
            <w:r>
              <w:rPr>
                <w:sz w:val="20"/>
              </w:rPr>
              <w:t>Pitch angles (α)</w:t>
            </w:r>
          </w:p>
        </w:tc>
        <w:tc>
          <w:tcPr>
            <w:tcW w:type="dxa" w:w="3168"/>
            <w:shd w:val="clear" w:color="auto" w:fill="FFFFFF"/>
          </w:tcPr>
          <w:p>
            <w:pPr>
              <w:jc w:val="center"/>
            </w:pPr>
            <w:r>
              <w:rPr>
                <w:sz w:val="20"/>
              </w:rPr>
              <w:t>−4°, 0°, 4°, 8°, 12°, 16°, 20°</w:t>
            </w:r>
          </w:p>
        </w:tc>
        <w:tc>
          <w:tcPr>
            <w:tcW w:type="dxa" w:w="3312"/>
            <w:shd w:val="clear" w:color="auto" w:fill="FFFFFF"/>
          </w:tcPr>
          <w:p>
            <w:pPr>
              <w:jc w:val="center"/>
            </w:pPr>
            <w:r>
              <w:rPr>
                <w:sz w:val="20"/>
              </w:rPr>
              <w:t>7 discrete angles</w:t>
            </w:r>
          </w:p>
        </w:tc>
      </w:tr>
      <w:tr>
        <w:tc>
          <w:tcPr>
            <w:tcW w:type="dxa" w:w="2880"/>
            <w:shd w:val="clear" w:color="auto" w:fill="EBF3FB"/>
          </w:tcPr>
          <w:p>
            <w:pPr>
              <w:jc w:val="center"/>
            </w:pPr>
            <w:r>
              <w:rPr>
                <w:sz w:val="20"/>
              </w:rPr>
              <w:t>Upper voltages simulated</w:t>
            </w:r>
          </w:p>
        </w:tc>
        <w:tc>
          <w:tcPr>
            <w:tcW w:type="dxa" w:w="3168"/>
            <w:shd w:val="clear" w:color="auto" w:fill="EBF3FB"/>
          </w:tcPr>
          <w:p>
            <w:pPr>
              <w:jc w:val="center"/>
            </w:pPr>
            <w:r>
              <w:rPr>
                <w:sz w:val="20"/>
              </w:rPr>
              <w:t>50 V, 750 V, 1500 V</w:t>
            </w:r>
          </w:p>
        </w:tc>
        <w:tc>
          <w:tcPr>
            <w:tcW w:type="dxa" w:w="3312"/>
            <w:shd w:val="clear" w:color="auto" w:fill="EBF3FB"/>
          </w:tcPr>
          <w:p>
            <w:pPr>
              <w:jc w:val="center"/>
            </w:pPr>
            <w:r>
              <w:rPr>
                <w:sz w:val="20"/>
              </w:rPr>
              <w:t>Sparse: 3 levels only</w:t>
            </w:r>
          </w:p>
        </w:tc>
      </w:tr>
      <w:tr>
        <w:tc>
          <w:tcPr>
            <w:tcW w:type="dxa" w:w="2880"/>
            <w:shd w:val="clear" w:color="auto" w:fill="FFFFFF"/>
          </w:tcPr>
          <w:p>
            <w:pPr>
              <w:jc w:val="center"/>
            </w:pPr>
            <w:r>
              <w:rPr>
                <w:sz w:val="20"/>
              </w:rPr>
              <w:t>CL range</w:t>
            </w:r>
          </w:p>
        </w:tc>
        <w:tc>
          <w:tcPr>
            <w:tcW w:type="dxa" w:w="3168"/>
            <w:shd w:val="clear" w:color="auto" w:fill="FFFFFF"/>
          </w:tcPr>
          <w:p>
            <w:pPr>
              <w:jc w:val="center"/>
            </w:pPr>
            <w:r>
              <w:rPr>
                <w:sz w:val="20"/>
              </w:rPr>
              <w:t>[0.00408, 0.3079]</w:t>
            </w:r>
          </w:p>
        </w:tc>
        <w:tc>
          <w:tcPr>
            <w:tcW w:type="dxa" w:w="3312"/>
            <w:shd w:val="clear" w:color="auto" w:fill="FFFFFF"/>
          </w:tcPr>
          <w:p>
            <w:pPr>
              <w:jc w:val="center"/>
            </w:pPr>
            <w:r>
              <w:rPr>
                <w:sz w:val="20"/>
              </w:rPr>
              <w:t>Wide variation with α</w:t>
            </w:r>
          </w:p>
        </w:tc>
      </w:tr>
      <w:tr>
        <w:tc>
          <w:tcPr>
            <w:tcW w:type="dxa" w:w="2880"/>
            <w:shd w:val="clear" w:color="auto" w:fill="EBF3FB"/>
          </w:tcPr>
          <w:p>
            <w:pPr>
              <w:jc w:val="center"/>
            </w:pPr>
            <w:r>
              <w:rPr>
                <w:sz w:val="20"/>
              </w:rPr>
              <w:t>CD range</w:t>
            </w:r>
          </w:p>
        </w:tc>
        <w:tc>
          <w:tcPr>
            <w:tcW w:type="dxa" w:w="3168"/>
            <w:shd w:val="clear" w:color="auto" w:fill="EBF3FB"/>
          </w:tcPr>
          <w:p>
            <w:pPr>
              <w:jc w:val="center"/>
            </w:pPr>
            <w:r>
              <w:rPr>
                <w:sz w:val="20"/>
              </w:rPr>
              <w:t>[0.01311, 0.13997]</w:t>
            </w:r>
          </w:p>
        </w:tc>
        <w:tc>
          <w:tcPr>
            <w:tcW w:type="dxa" w:w="3312"/>
            <w:shd w:val="clear" w:color="auto" w:fill="EBF3FB"/>
          </w:tcPr>
          <w:p>
            <w:pPr>
              <w:jc w:val="center"/>
            </w:pPr>
            <w:r>
              <w:rPr>
                <w:sz w:val="20"/>
              </w:rPr>
              <w:t>Dominated by induced drag at high α</w:t>
            </w:r>
          </w:p>
        </w:tc>
      </w:tr>
      <w:tr>
        <w:tc>
          <w:tcPr>
            <w:tcW w:type="dxa" w:w="2880"/>
            <w:shd w:val="clear" w:color="auto" w:fill="FFFFFF"/>
          </w:tcPr>
          <w:p>
            <w:pPr>
              <w:jc w:val="center"/>
            </w:pPr>
            <w:r>
              <w:rPr>
                <w:sz w:val="20"/>
              </w:rPr>
              <w:t>CFD solver</w:t>
            </w:r>
          </w:p>
        </w:tc>
        <w:tc>
          <w:tcPr>
            <w:tcW w:type="dxa" w:w="3168"/>
            <w:shd w:val="clear" w:color="auto" w:fill="FFFFFF"/>
          </w:tcPr>
          <w:p>
            <w:pPr>
              <w:jc w:val="center"/>
            </w:pPr>
            <w:r>
              <w:rPr>
                <w:sz w:val="20"/>
              </w:rPr>
              <w:t>ANSYS Fluent</w:t>
            </w:r>
          </w:p>
        </w:tc>
        <w:tc>
          <w:tcPr>
            <w:tcW w:type="dxa" w:w="3312"/>
            <w:shd w:val="clear" w:color="auto" w:fill="FFFFFF"/>
          </w:tcPr>
          <w:p>
            <w:pPr>
              <w:jc w:val="center"/>
            </w:pPr>
            <w:r>
              <w:rPr>
                <w:sz w:val="20"/>
              </w:rPr>
              <w:t>Steady RANS</w:t>
            </w:r>
          </w:p>
        </w:tc>
      </w:tr>
      <w:tr>
        <w:tc>
          <w:tcPr>
            <w:tcW w:type="dxa" w:w="2880"/>
            <w:shd w:val="clear" w:color="auto" w:fill="EBF3FB"/>
          </w:tcPr>
          <w:p>
            <w:pPr>
              <w:jc w:val="center"/>
            </w:pPr>
            <w:r>
              <w:rPr>
                <w:sz w:val="20"/>
              </w:rPr>
              <w:t>Turbulence model</w:t>
            </w:r>
          </w:p>
        </w:tc>
        <w:tc>
          <w:tcPr>
            <w:tcW w:type="dxa" w:w="3168"/>
            <w:shd w:val="clear" w:color="auto" w:fill="EBF3FB"/>
          </w:tcPr>
          <w:p>
            <w:pPr>
              <w:jc w:val="center"/>
            </w:pPr>
            <w:r>
              <w:rPr>
                <w:sz w:val="20"/>
              </w:rPr>
              <w:t>k-ω SST</w:t>
            </w:r>
          </w:p>
        </w:tc>
        <w:tc>
          <w:tcPr>
            <w:tcW w:type="dxa" w:w="3312"/>
            <w:shd w:val="clear" w:color="auto" w:fill="EBF3FB"/>
          </w:tcPr>
          <w:p>
            <w:pPr>
              <w:jc w:val="center"/>
            </w:pPr>
            <w:r>
              <w:rPr>
                <w:sz w:val="20"/>
              </w:rPr>
              <w:t>Suitable for low-Re attached flow</w:t>
            </w:r>
          </w:p>
        </w:tc>
      </w:tr>
      <w:tr>
        <w:tc>
          <w:tcPr>
            <w:tcW w:type="dxa" w:w="2880"/>
            <w:shd w:val="clear" w:color="auto" w:fill="FFFFFF"/>
          </w:tcPr>
          <w:p>
            <w:pPr>
              <w:jc w:val="center"/>
            </w:pPr>
            <w:r>
              <w:rPr>
                <w:sz w:val="20"/>
              </w:rPr>
              <w:t>Reynolds number</w:t>
            </w:r>
          </w:p>
        </w:tc>
        <w:tc>
          <w:tcPr>
            <w:tcW w:type="dxa" w:w="3168"/>
            <w:shd w:val="clear" w:color="auto" w:fill="FFFFFF"/>
          </w:tcPr>
          <w:p>
            <w:pPr>
              <w:jc w:val="center"/>
            </w:pPr>
            <w:r>
              <w:rPr>
                <w:sz w:val="20"/>
              </w:rPr>
              <w:t>~3 × 10⁵</w:t>
            </w:r>
          </w:p>
        </w:tc>
        <w:tc>
          <w:tcPr>
            <w:tcW w:type="dxa" w:w="3312"/>
            <w:shd w:val="clear" w:color="auto" w:fill="FFFFFF"/>
          </w:tcPr>
          <w:p>
            <w:pPr>
              <w:jc w:val="center"/>
            </w:pPr>
            <w:r>
              <w:rPr>
                <w:sz w:val="20"/>
              </w:rPr>
              <w:t>Low-speed wind tunnel regime</w:t>
            </w:r>
          </w:p>
        </w:tc>
      </w:tr>
    </w:tbl>
    <w:p/>
    <w:p>
      <w:pPr>
        <w:jc w:val="center"/>
        <w:spacing w:before="80" w:after="20"/>
      </w:pPr>
      <w:r>
        <w:drawing>
          <wp:inline xmlns:a="http://schemas.openxmlformats.org/drawingml/2006/main" xmlns:pic="http://schemas.openxmlformats.org/drawingml/2006/picture">
            <wp:extent cx="5669280" cy="2429023"/>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2429023"/>
                    </a:xfrm>
                    <a:prstGeom prst="rect"/>
                  </pic:spPr>
                </pic:pic>
              </a:graphicData>
            </a:graphic>
          </wp:inline>
        </w:drawing>
      </w:r>
    </w:p>
    <w:p>
      <w:pPr>
        <w:jc w:val="center"/>
        <w:spacing w:before="0" w:after="160"/>
      </w:pPr>
      <w:r>
        <w:rPr>
          <w:i/>
          <w:color w:val="444444"/>
          <w:sz w:val="19"/>
        </w:rPr>
        <w:t>Figure 2: Data coverage in parameter space. (a) Structural data: Full 10 × 30 factorial grid in voltage space — complete coverage enabling robust interpolation. (b) Aerodynamic data: Sparse coverage at only 3 upper voltage levels across 7 pitch angles — highlighting the need for synthetic augmentation to fill the voltage-space gaps.</w:t>
      </w:r>
    </w:p>
    <w:p>
      <w:pPr>
        <w:pStyle w:val="Heading2"/>
        <w:jc w:val="left"/>
      </w:pPr>
      <w:r>
        <w:rPr>
          <w:color w:val="1A5C9C"/>
          <w:sz w:val="26"/>
        </w:rPr>
        <w:t>2.3 Physics-Consistent Synthetic Data Augmentation</w:t>
      </w:r>
    </w:p>
    <w:p>
      <w:pPr>
        <w:ind w:firstLine="360"/>
        <w:jc w:val="both"/>
        <w:spacing w:before="40" w:after="60"/>
      </w:pPr>
      <w:r>
        <w:rPr>
          <w:sz w:val="22"/>
        </w:rPr>
        <w:t>The aerodynamic dataset's sparsity in voltage space — with only three upper voltage levels represented — poses a significant challenge for training a generalizable aerodynamic surrogate. A direct MLP trained on only 201 points cannot reliably interpolate between the three discrete voltage levels, leading to poor performance in the intermediate voltage ranges that are most relevant for continuous morphing control.</w:t>
      </w:r>
    </w:p>
    <w:p>
      <w:pPr>
        <w:ind w:firstLine="360"/>
        <w:jc w:val="both"/>
        <w:spacing w:before="40" w:after="60"/>
      </w:pPr>
      <w:r>
        <w:rPr>
          <w:sz w:val="22"/>
        </w:rPr>
        <w:t>To address this, a physics-consistent synthetic data augmentation strategy is implemented. The core idea is to exploit the structural surrogate — which has already achieved near-perfect accuracy across the full voltage space — to generate a dense grid of physically valid (voltage, deflection) pairs, and then use smooth aerodynamic interpolation to assign plausible CL and CD values to these new points. The augmentation process follows these steps:</w:t>
      </w:r>
    </w:p>
    <w:p>
      <w:pPr>
        <w:jc w:val="both"/>
        <w:spacing w:before="30" w:after="30"/>
      </w:pPr>
      <w:r>
        <w:rPr>
          <w:b/>
          <w:sz w:val="22"/>
        </w:rPr>
        <w:t xml:space="preserve">Step 1 — Dense Voltage Sampling:  </w:t>
      </w:r>
      <w:r>
        <w:rPr>
          <w:i w:val="0"/>
          <w:sz w:val="22"/>
        </w:rPr>
        <w:t>A fine grid of 40 × 30 = 1,200 voltage combinations is defined, spanning the full operating range [−500, −50] V × [50, 1500] V at higher resolution than the original structural data.</w:t>
      </w:r>
    </w:p>
    <w:p>
      <w:pPr>
        <w:jc w:val="both"/>
        <w:spacing w:before="30" w:after="30"/>
      </w:pPr>
      <w:r>
        <w:rPr>
          <w:b/>
          <w:sz w:val="22"/>
        </w:rPr>
        <w:t xml:space="preserve">Step 2 — Structural Surrogate Inference:  </w:t>
      </w:r>
      <w:r>
        <w:rPr>
          <w:i w:val="0"/>
          <w:sz w:val="22"/>
        </w:rPr>
        <w:t>The validated structural linear regression model predicts trailing-edge deflection δ for each of the 1,200 voltage combinations. Since the structural surrogate has R² = 0.999998, these deflections are effectively ground-truth accurate.</w:t>
      </w:r>
    </w:p>
    <w:p>
      <w:pPr>
        <w:jc w:val="both"/>
        <w:spacing w:before="30" w:after="30"/>
      </w:pPr>
      <w:r>
        <w:rPr>
          <w:b/>
          <w:sz w:val="22"/>
        </w:rPr>
        <w:t xml:space="preserve">Step 3 — Aerodynamic Interpolation:  </w:t>
      </w:r>
      <w:r>
        <w:rPr>
          <w:i w:val="0"/>
          <w:sz w:val="22"/>
        </w:rPr>
        <w:t>For each pitch angle in {−4°, 0°, 4°, 8°, 12°, 16°, 20°}, a 2D interpolation scheme (cubic spline in deflection space) is applied to the existing 201 CFD points to estimate CL and CD at the new deflection values. Only interpolated points (not extrapolated) are retained to ensure physical validity.</w:t>
      </w:r>
    </w:p>
    <w:p>
      <w:pPr>
        <w:jc w:val="both"/>
        <w:spacing w:before="30" w:after="30"/>
      </w:pPr>
      <w:r>
        <w:rPr>
          <w:b/>
          <w:sz w:val="22"/>
        </w:rPr>
        <w:t xml:space="preserve">Step 4 — Physical Consistency Checks:  </w:t>
      </w:r>
      <w:r>
        <w:rPr>
          <w:i w:val="0"/>
          <w:sz w:val="22"/>
        </w:rPr>
        <w:t>Generated points are filtered to ensure monotonic CL variation with pitch angle, positive CD values, and CL/CD ratios within physically plausible bounds. Points failing these checks are discarded.</w:t>
      </w:r>
    </w:p>
    <w:p>
      <w:pPr>
        <w:jc w:val="both"/>
        <w:spacing w:before="30" w:after="30"/>
      </w:pPr>
      <w:r>
        <w:rPr>
          <w:b/>
          <w:sz w:val="22"/>
        </w:rPr>
        <w:t xml:space="preserve">Step 5 — Dataset Assembly:  </w:t>
      </w:r>
      <w:r>
        <w:rPr>
          <w:i w:val="0"/>
          <w:sz w:val="22"/>
        </w:rPr>
        <w:t>The 7,797 synthetic rows (passing all consistency checks) are combined with the original 201 CFD rows to form the augmented training dataset of ~8,000 points. A stratified 80/20 train-test split retains 40 original CFD points as a held-out real-data test set for unbiased evaluation.</w:t>
      </w:r>
    </w:p>
    <w:p>
      <w:pPr>
        <w:ind w:firstLine="360"/>
        <w:jc w:val="both"/>
        <w:spacing w:before="40" w:after="60"/>
      </w:pPr>
      <w:r>
        <w:rPr>
          <w:sz w:val="22"/>
        </w:rPr>
        <w:t>The synthetic augmentation strategy is validated by comparing surrogate performance on the held-out 40 real CFD points: models trained on augmented data consistently outperform models trained on only the original 201 points, particularly for CD prediction (R² improvement: 0.70 → 0.991). This confirms that the augmentation introduces physically meaningful structure rather than spurious noise.</w:t>
      </w:r>
    </w:p>
    <w:p>
      <w:pPr>
        <w:pStyle w:val="Heading2"/>
        <w:jc w:val="left"/>
      </w:pPr>
      <w:r>
        <w:rPr>
          <w:color w:val="1A5C9C"/>
          <w:sz w:val="26"/>
        </w:rPr>
        <w:t>2.4 Model Selection Criteria</w:t>
      </w:r>
    </w:p>
    <w:p>
      <w:pPr>
        <w:ind w:firstLine="360"/>
        <w:jc w:val="both"/>
        <w:spacing w:before="40" w:after="60"/>
      </w:pPr>
      <w:r>
        <w:rPr>
          <w:sz w:val="22"/>
        </w:rPr>
        <w:t>Model selection at each stage of the pipeline is governed by three primary criteria: (1) predictive accuracy on held-out validation data, assessed via MAE, RMSE, and R²; (2) physical appropriateness — preference is given to simpler models when the underlying physics supports linearity or smooth nonlinearity; and (3) computational efficiency, prioritizing models with sub-millisecond inference latency suitable for real-time control. Where accuracy is comparable, the simpler model is always preferred (Occam's Razor principle in engineering model selection).</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val="clear" w:color="auto" w:fill="1A2A6C"/>
          </w:tcPr>
          <w:p>
            <w:pPr>
              <w:jc w:val="center"/>
            </w:pPr>
            <w:r>
              <w:rPr>
                <w:b/>
                <w:color w:val="FFFFFF"/>
                <w:sz w:val="20"/>
              </w:rPr>
              <w:t>Criterion</w:t>
            </w:r>
          </w:p>
        </w:tc>
        <w:tc>
          <w:tcPr>
            <w:tcW w:type="dxa" w:w="3456"/>
            <w:shd w:val="clear" w:color="auto" w:fill="1A2A6C"/>
          </w:tcPr>
          <w:p>
            <w:pPr>
              <w:jc w:val="center"/>
            </w:pPr>
            <w:r>
              <w:rPr>
                <w:b/>
                <w:color w:val="FFFFFF"/>
                <w:sz w:val="20"/>
              </w:rPr>
              <w:t>Structural Stage</w:t>
            </w:r>
          </w:p>
        </w:tc>
        <w:tc>
          <w:tcPr>
            <w:tcW w:type="dxa" w:w="3744"/>
            <w:shd w:val="clear" w:color="auto" w:fill="1A2A6C"/>
          </w:tcPr>
          <w:p>
            <w:pPr>
              <w:jc w:val="center"/>
            </w:pPr>
            <w:r>
              <w:rPr>
                <w:b/>
                <w:color w:val="FFFFFF"/>
                <w:sz w:val="20"/>
              </w:rPr>
              <w:t>Aerodynamic Stage</w:t>
            </w:r>
          </w:p>
        </w:tc>
      </w:tr>
      <w:tr>
        <w:tc>
          <w:tcPr>
            <w:tcW w:type="dxa" w:w="2160"/>
            <w:shd w:val="clear" w:color="auto" w:fill="EBF3FB"/>
          </w:tcPr>
          <w:p>
            <w:pPr>
              <w:jc w:val="center"/>
            </w:pPr>
            <w:r>
              <w:rPr>
                <w:sz w:val="20"/>
              </w:rPr>
              <w:t>Primary metric</w:t>
            </w:r>
          </w:p>
        </w:tc>
        <w:tc>
          <w:tcPr>
            <w:tcW w:type="dxa" w:w="3456"/>
            <w:shd w:val="clear" w:color="auto" w:fill="EBF3FB"/>
          </w:tcPr>
          <w:p>
            <w:pPr>
              <w:jc w:val="center"/>
            </w:pPr>
            <w:r>
              <w:rPr>
                <w:sz w:val="20"/>
              </w:rPr>
              <w:t>R², MAE (mm)</w:t>
            </w:r>
          </w:p>
        </w:tc>
        <w:tc>
          <w:tcPr>
            <w:tcW w:type="dxa" w:w="3744"/>
            <w:shd w:val="clear" w:color="auto" w:fill="EBF3FB"/>
          </w:tcPr>
          <w:p>
            <w:pPr>
              <w:jc w:val="center"/>
            </w:pPr>
            <w:r>
              <w:rPr>
                <w:sz w:val="20"/>
              </w:rPr>
              <w:t>R², MAE (CL/CD)</w:t>
            </w:r>
          </w:p>
        </w:tc>
      </w:tr>
      <w:tr>
        <w:tc>
          <w:tcPr>
            <w:tcW w:type="dxa" w:w="2160"/>
            <w:shd w:val="clear" w:color="auto" w:fill="FFFFFF"/>
          </w:tcPr>
          <w:p>
            <w:pPr>
              <w:jc w:val="center"/>
            </w:pPr>
            <w:r>
              <w:rPr>
                <w:sz w:val="20"/>
              </w:rPr>
              <w:t>Model candidates</w:t>
            </w:r>
          </w:p>
        </w:tc>
        <w:tc>
          <w:tcPr>
            <w:tcW w:type="dxa" w:w="3456"/>
            <w:shd w:val="clear" w:color="auto" w:fill="FFFFFF"/>
          </w:tcPr>
          <w:p>
            <w:pPr>
              <w:jc w:val="center"/>
            </w:pPr>
            <w:r>
              <w:rPr>
                <w:sz w:val="20"/>
              </w:rPr>
              <w:t>Linear Regression, MLP</w:t>
            </w:r>
          </w:p>
        </w:tc>
        <w:tc>
          <w:tcPr>
            <w:tcW w:type="dxa" w:w="3744"/>
            <w:shd w:val="clear" w:color="auto" w:fill="FFFFFF"/>
          </w:tcPr>
          <w:p>
            <w:pPr>
              <w:jc w:val="center"/>
            </w:pPr>
            <w:r>
              <w:rPr>
                <w:sz w:val="20"/>
              </w:rPr>
              <w:t>Linear Regression, MLP</w:t>
            </w:r>
          </w:p>
        </w:tc>
      </w:tr>
      <w:tr>
        <w:tc>
          <w:tcPr>
            <w:tcW w:type="dxa" w:w="2160"/>
            <w:shd w:val="clear" w:color="auto" w:fill="EBF3FB"/>
          </w:tcPr>
          <w:p>
            <w:pPr>
              <w:jc w:val="center"/>
            </w:pPr>
            <w:r>
              <w:rPr>
                <w:sz w:val="20"/>
              </w:rPr>
              <w:t>Physics prior</w:t>
            </w:r>
          </w:p>
        </w:tc>
        <w:tc>
          <w:tcPr>
            <w:tcW w:type="dxa" w:w="3456"/>
            <w:shd w:val="clear" w:color="auto" w:fill="EBF3FB"/>
          </w:tcPr>
          <w:p>
            <w:pPr>
              <w:jc w:val="center"/>
            </w:pPr>
            <w:r>
              <w:rPr>
                <w:sz w:val="20"/>
              </w:rPr>
              <w:t>Linear (piezoelectric)</w:t>
            </w:r>
          </w:p>
        </w:tc>
        <w:tc>
          <w:tcPr>
            <w:tcW w:type="dxa" w:w="3744"/>
            <w:shd w:val="clear" w:color="auto" w:fill="EBF3FB"/>
          </w:tcPr>
          <w:p>
            <w:pPr>
              <w:jc w:val="center"/>
            </w:pPr>
            <w:r>
              <w:rPr>
                <w:sz w:val="20"/>
              </w:rPr>
              <w:t>Nonlinear (flow separation, camber effects)</w:t>
            </w:r>
          </w:p>
        </w:tc>
      </w:tr>
      <w:tr>
        <w:tc>
          <w:tcPr>
            <w:tcW w:type="dxa" w:w="2160"/>
            <w:shd w:val="clear" w:color="auto" w:fill="FFFFFF"/>
          </w:tcPr>
          <w:p>
            <w:pPr>
              <w:jc w:val="center"/>
            </w:pPr>
            <w:r>
              <w:rPr>
                <w:sz w:val="20"/>
              </w:rPr>
              <w:t>Preferred model</w:t>
            </w:r>
          </w:p>
        </w:tc>
        <w:tc>
          <w:tcPr>
            <w:tcW w:type="dxa" w:w="3456"/>
            <w:shd w:val="clear" w:color="auto" w:fill="FFFFFF"/>
          </w:tcPr>
          <w:p>
            <w:pPr>
              <w:jc w:val="center"/>
            </w:pPr>
            <w:r>
              <w:rPr>
                <w:sz w:val="20"/>
              </w:rPr>
              <w:t>Simplest accurate model</w:t>
            </w:r>
          </w:p>
        </w:tc>
        <w:tc>
          <w:tcPr>
            <w:tcW w:type="dxa" w:w="3744"/>
            <w:shd w:val="clear" w:color="auto" w:fill="FFFFFF"/>
          </w:tcPr>
          <w:p>
            <w:pPr>
              <w:jc w:val="center"/>
            </w:pPr>
            <w:r>
              <w:rPr>
                <w:sz w:val="20"/>
              </w:rPr>
              <w:t>Most accurate within inference budget</w:t>
            </w:r>
          </w:p>
        </w:tc>
      </w:tr>
      <w:tr>
        <w:tc>
          <w:tcPr>
            <w:tcW w:type="dxa" w:w="2160"/>
            <w:shd w:val="clear" w:color="auto" w:fill="EBF3FB"/>
          </w:tcPr>
          <w:p>
            <w:pPr>
              <w:jc w:val="center"/>
            </w:pPr>
            <w:r>
              <w:rPr>
                <w:sz w:val="20"/>
              </w:rPr>
              <w:t>Validation set</w:t>
            </w:r>
          </w:p>
        </w:tc>
        <w:tc>
          <w:tcPr>
            <w:tcW w:type="dxa" w:w="3456"/>
            <w:shd w:val="clear" w:color="auto" w:fill="EBF3FB"/>
          </w:tcPr>
          <w:p>
            <w:pPr>
              <w:jc w:val="center"/>
            </w:pPr>
            <w:r>
              <w:rPr>
                <w:sz w:val="20"/>
              </w:rPr>
              <w:t>20% of 300 FEA points</w:t>
            </w:r>
          </w:p>
        </w:tc>
        <w:tc>
          <w:tcPr>
            <w:tcW w:type="dxa" w:w="3744"/>
            <w:shd w:val="clear" w:color="auto" w:fill="EBF3FB"/>
          </w:tcPr>
          <w:p>
            <w:pPr>
              <w:jc w:val="center"/>
            </w:pPr>
            <w:r>
              <w:rPr>
                <w:sz w:val="20"/>
              </w:rPr>
              <w:t>40 real CFD points (held-out)</w:t>
            </w:r>
          </w:p>
        </w:tc>
      </w:tr>
    </w:tbl>
    <w:p/>
    <w:p>
      <w:r>
        <w:br w:type="page"/>
      </w:r>
    </w:p>
    <w:p>
      <w:pPr>
        <w:pStyle w:val="Heading1"/>
        <w:jc w:val="left"/>
      </w:pPr>
      <w:r>
        <w:rPr>
          <w:color w:val="1A2A6C"/>
          <w:sz w:val="30"/>
        </w:rPr>
        <w:t>3. STRUCTURAL SURROGATE MODEL</w:t>
      </w:r>
    </w:p>
    <w:p>
      <w:pPr>
        <w:pStyle w:val="Heading2"/>
        <w:jc w:val="left"/>
      </w:pPr>
      <w:r>
        <w:rPr>
          <w:color w:val="1A5C9C"/>
          <w:sz w:val="26"/>
        </w:rPr>
        <w:t>3.1 Electromechanical Background &amp; Physical Justification</w:t>
      </w:r>
    </w:p>
    <w:p>
      <w:pPr>
        <w:ind w:firstLine="360"/>
        <w:jc w:val="both"/>
        <w:spacing w:before="40" w:after="60"/>
      </w:pPr>
      <w:r>
        <w:rPr>
          <w:sz w:val="22"/>
        </w:rPr>
        <w:t>The structural surrogate models the electromechanical response of the MFC-actuated trailing edge: given applied voltages V_lower and V_upper to the lower and upper actuator patches respectively, predict the resulting trailing-edge deflection δ. The fundamental operating principle of Macro Fiber Composite actuators is the converse piezoelectric effect: an applied electric field induces mechanical strain in the piezoelectric fibers, which is then transmitted to the host structure through the adhesive bonding layer.</w:t>
      </w:r>
    </w:p>
    <w:p>
      <w:pPr>
        <w:ind w:firstLine="360"/>
        <w:jc w:val="both"/>
        <w:spacing w:before="40" w:after="60"/>
      </w:pPr>
      <w:r>
        <w:rPr>
          <w:sz w:val="22"/>
        </w:rPr>
        <w:t>For a standard Euler-Bernoulli beam model of the wing's trailing-edge region, the tip deflection due to a distributed bending moment M(x) is linearly related to the applied moment magnitude — which is in turn linearly related to the actuator strain — which is linearly related to the applied electric field E = V/t (voltage V divided by actuator thickness t). This three-step linear chain of relationships predicts that trailing-edge deflection should be linear in the applied voltages:</w:t>
      </w:r>
    </w:p>
    <w:p>
      <w:pPr>
        <w:jc w:val="center"/>
        <w:spacing w:before="60" w:after="60"/>
      </w:pPr>
      <w:r>
        <w:rPr>
          <w:i/>
          <w:sz w:val="24"/>
        </w:rPr>
        <w:t xml:space="preserve">    δ = a₁ · V_lower + a₂ · V_upper + a₀</w:t>
      </w:r>
    </w:p>
    <w:p>
      <w:pPr>
        <w:ind w:firstLine="360"/>
        <w:jc w:val="both"/>
        <w:spacing w:before="40" w:after="60"/>
      </w:pPr>
      <w:r>
        <w:rPr>
          <w:sz w:val="22"/>
        </w:rPr>
        <w:t>where a₁ and a₂ are effective electromechanical coupling coefficients (mm/V) for the lower and upper actuator patches respectively, and a₀ is a constant offset accounting for any pre-stress or geometric asymmetry. This analytical prediction is confirmed by the FEA data: the structural dataset exhibits an almost perfectly linear relationship between voltages and deflection, with deviations from linearity attributable to boundary condition nonlinearities at large deflections. The linear regression surrogate's near-perfect R² = 0.999998 validates this physical understanding.</w:t>
      </w:r>
    </w:p>
    <w:p>
      <w:pPr>
        <w:ind w:firstLine="360"/>
        <w:jc w:val="both"/>
        <w:spacing w:before="40" w:after="60"/>
      </w:pPr>
      <w:r>
        <w:rPr>
          <w:sz w:val="22"/>
        </w:rPr>
        <w:t>The physical interpretation of the fitted coefficients is also instructive: a₁ &lt; a₂ in magnitude, reflecting the geometric fact that the lower actuator is positioned slightly differently from the upper actuator relative to the wing's neutral axis, yielding different moment arms and thus different electromechanical coupling efficiencies. The opposing signs of a₁ and a₂ confirm that increasing the lower voltage (which is negative) and increasing the upper voltage (which is positive) both contribute to downward (negative) deflection of the trailing edge, consistent with the physical expectation of combined bending action.</w:t>
      </w:r>
    </w:p>
    <w:p>
      <w:pPr>
        <w:pStyle w:val="Heading2"/>
        <w:jc w:val="left"/>
      </w:pPr>
      <w:r>
        <w:rPr>
          <w:color w:val="1A5C9C"/>
          <w:sz w:val="26"/>
        </w:rPr>
        <w:t>3.2 Model Comparison &amp; Selection</w:t>
      </w:r>
    </w:p>
    <w:p>
      <w:pPr>
        <w:ind w:firstLine="360"/>
        <w:jc w:val="both"/>
        <w:spacing w:before="40" w:after="60"/>
      </w:pPr>
      <w:r>
        <w:rPr>
          <w:sz w:val="22"/>
        </w:rPr>
        <w:t>Two candidate models are evaluated for the structural surrogate: a standard linear regression model and a Multi-Layer Perceptron (MLP) neural network. Both are trained on an 80/20 split of the 300 FEA data points, using the structural dataset's full 10 × 30 voltage grid. Cross-validation is performed with 5-fold CV to ensure robustness of the performance estimates.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592"/>
            <w:shd w:val="clear" w:color="auto" w:fill="1A2A6C"/>
          </w:tcPr>
          <w:p>
            <w:pPr>
              <w:jc w:val="center"/>
            </w:pPr>
            <w:r>
              <w:rPr>
                <w:b/>
                <w:color w:val="FFFFFF"/>
                <w:sz w:val="20"/>
              </w:rPr>
              <w:t>Model</w:t>
            </w:r>
          </w:p>
        </w:tc>
        <w:tc>
          <w:tcPr>
            <w:tcW w:type="dxa" w:w="1440"/>
            <w:shd w:val="clear" w:color="auto" w:fill="1A2A6C"/>
          </w:tcPr>
          <w:p>
            <w:pPr>
              <w:jc w:val="center"/>
            </w:pPr>
            <w:r>
              <w:rPr>
                <w:b/>
                <w:color w:val="FFFFFF"/>
                <w:sz w:val="20"/>
              </w:rPr>
              <w:t>MAE (mm)</w:t>
            </w:r>
          </w:p>
        </w:tc>
        <w:tc>
          <w:tcPr>
            <w:tcW w:type="dxa" w:w="1440"/>
            <w:shd w:val="clear" w:color="auto" w:fill="1A2A6C"/>
          </w:tcPr>
          <w:p>
            <w:pPr>
              <w:jc w:val="center"/>
            </w:pPr>
            <w:r>
              <w:rPr>
                <w:b/>
                <w:color w:val="FFFFFF"/>
                <w:sz w:val="20"/>
              </w:rPr>
              <w:t>RMSE (mm)</w:t>
            </w:r>
          </w:p>
        </w:tc>
        <w:tc>
          <w:tcPr>
            <w:tcW w:type="dxa" w:w="1296"/>
            <w:shd w:val="clear" w:color="auto" w:fill="1A2A6C"/>
          </w:tcPr>
          <w:p>
            <w:pPr>
              <w:jc w:val="center"/>
            </w:pPr>
            <w:r>
              <w:rPr>
                <w:b/>
                <w:color w:val="FFFFFF"/>
                <w:sz w:val="20"/>
              </w:rPr>
              <w:t>R²</w:t>
            </w:r>
          </w:p>
        </w:tc>
        <w:tc>
          <w:tcPr>
            <w:tcW w:type="dxa" w:w="1584"/>
            <w:shd w:val="clear" w:color="auto" w:fill="1A2A6C"/>
          </w:tcPr>
          <w:p>
            <w:pPr>
              <w:jc w:val="center"/>
            </w:pPr>
            <w:r>
              <w:rPr>
                <w:b/>
                <w:color w:val="FFFFFF"/>
                <w:sz w:val="20"/>
              </w:rPr>
              <w:t>Inference Time</w:t>
            </w:r>
          </w:p>
        </w:tc>
        <w:tc>
          <w:tcPr>
            <w:tcW w:type="dxa" w:w="1440"/>
            <w:shd w:val="clear" w:color="auto" w:fill="1A2A6C"/>
          </w:tcPr>
          <w:p>
            <w:pPr>
              <w:jc w:val="center"/>
            </w:pPr>
            <w:r>
              <w:rPr>
                <w:b/>
                <w:color w:val="FFFFFF"/>
                <w:sz w:val="20"/>
              </w:rPr>
              <w:t>Decision</w:t>
            </w:r>
          </w:p>
        </w:tc>
      </w:tr>
      <w:tr>
        <w:tc>
          <w:tcPr>
            <w:tcW w:type="dxa" w:w="2592"/>
            <w:shd w:val="clear" w:color="auto" w:fill="EBF3FB"/>
          </w:tcPr>
          <w:p>
            <w:pPr>
              <w:jc w:val="center"/>
            </w:pPr>
            <w:r>
              <w:rPr>
                <w:sz w:val="20"/>
              </w:rPr>
              <w:t>Linear Regression</w:t>
            </w:r>
          </w:p>
        </w:tc>
        <w:tc>
          <w:tcPr>
            <w:tcW w:type="dxa" w:w="1440"/>
            <w:shd w:val="clear" w:color="auto" w:fill="EBF3FB"/>
          </w:tcPr>
          <w:p>
            <w:pPr>
              <w:jc w:val="center"/>
            </w:pPr>
            <w:r>
              <w:rPr>
                <w:sz w:val="20"/>
              </w:rPr>
              <w:t>0.00164</w:t>
            </w:r>
          </w:p>
        </w:tc>
        <w:tc>
          <w:tcPr>
            <w:tcW w:type="dxa" w:w="1440"/>
            <w:shd w:val="clear" w:color="auto" w:fill="EBF3FB"/>
          </w:tcPr>
          <w:p>
            <w:pPr>
              <w:jc w:val="center"/>
            </w:pPr>
            <w:r>
              <w:rPr>
                <w:sz w:val="20"/>
              </w:rPr>
              <w:t>0.00294</w:t>
            </w:r>
          </w:p>
        </w:tc>
        <w:tc>
          <w:tcPr>
            <w:tcW w:type="dxa" w:w="1296"/>
            <w:shd w:val="clear" w:color="auto" w:fill="EBF3FB"/>
          </w:tcPr>
          <w:p>
            <w:pPr>
              <w:jc w:val="center"/>
            </w:pPr>
            <w:r>
              <w:rPr>
                <w:sz w:val="20"/>
              </w:rPr>
              <w:t>0.999998</w:t>
            </w:r>
          </w:p>
        </w:tc>
        <w:tc>
          <w:tcPr>
            <w:tcW w:type="dxa" w:w="1584"/>
            <w:shd w:val="clear" w:color="auto" w:fill="EBF3FB"/>
          </w:tcPr>
          <w:p>
            <w:pPr>
              <w:jc w:val="center"/>
            </w:pPr>
            <w:r>
              <w:rPr>
                <w:sz w:val="20"/>
              </w:rPr>
              <w:t>&lt; 0.01 ms</w:t>
            </w:r>
          </w:p>
        </w:tc>
        <w:tc>
          <w:tcPr>
            <w:tcW w:type="dxa" w:w="1440"/>
            <w:shd w:val="clear" w:color="auto" w:fill="EBF3FB"/>
          </w:tcPr>
          <w:p>
            <w:pPr>
              <w:jc w:val="center"/>
            </w:pPr>
            <w:r>
              <w:rPr>
                <w:sz w:val="20"/>
              </w:rPr>
              <w:t>✓ Selected</w:t>
            </w:r>
          </w:p>
        </w:tc>
      </w:tr>
      <w:tr>
        <w:tc>
          <w:tcPr>
            <w:tcW w:type="dxa" w:w="2592"/>
            <w:shd w:val="clear" w:color="auto" w:fill="FFFFFF"/>
          </w:tcPr>
          <w:p>
            <w:pPr>
              <w:jc w:val="center"/>
            </w:pPr>
            <w:r>
              <w:rPr>
                <w:sz w:val="20"/>
              </w:rPr>
              <w:t>MLP Regressor</w:t>
              <w:br/>
              <w:t>(2 layers, 64 units)</w:t>
            </w:r>
          </w:p>
        </w:tc>
        <w:tc>
          <w:tcPr>
            <w:tcW w:type="dxa" w:w="1440"/>
            <w:shd w:val="clear" w:color="auto" w:fill="FFFFFF"/>
          </w:tcPr>
          <w:p>
            <w:pPr>
              <w:jc w:val="center"/>
            </w:pPr>
            <w:r>
              <w:rPr>
                <w:sz w:val="20"/>
              </w:rPr>
              <w:t>0.05838</w:t>
            </w:r>
          </w:p>
        </w:tc>
        <w:tc>
          <w:tcPr>
            <w:tcW w:type="dxa" w:w="1440"/>
            <w:shd w:val="clear" w:color="auto" w:fill="FFFFFF"/>
          </w:tcPr>
          <w:p>
            <w:pPr>
              <w:jc w:val="center"/>
            </w:pPr>
            <w:r>
              <w:rPr>
                <w:sz w:val="20"/>
              </w:rPr>
              <w:t>0.07143</w:t>
            </w:r>
          </w:p>
        </w:tc>
        <w:tc>
          <w:tcPr>
            <w:tcW w:type="dxa" w:w="1296"/>
            <w:shd w:val="clear" w:color="auto" w:fill="FFFFFF"/>
          </w:tcPr>
          <w:p>
            <w:pPr>
              <w:jc w:val="center"/>
            </w:pPr>
            <w:r>
              <w:rPr>
                <w:sz w:val="20"/>
              </w:rPr>
              <w:t>0.99882</w:t>
            </w:r>
          </w:p>
        </w:tc>
        <w:tc>
          <w:tcPr>
            <w:tcW w:type="dxa" w:w="1584"/>
            <w:shd w:val="clear" w:color="auto" w:fill="FFFFFF"/>
          </w:tcPr>
          <w:p>
            <w:pPr>
              <w:jc w:val="center"/>
            </w:pPr>
            <w:r>
              <w:rPr>
                <w:sz w:val="20"/>
              </w:rPr>
              <w:t>&lt; 0.5 ms</w:t>
            </w:r>
          </w:p>
        </w:tc>
        <w:tc>
          <w:tcPr>
            <w:tcW w:type="dxa" w:w="1440"/>
            <w:shd w:val="clear" w:color="auto" w:fill="FFFFFF"/>
          </w:tcPr>
          <w:p>
            <w:pPr>
              <w:jc w:val="center"/>
            </w:pPr>
            <w:r>
              <w:rPr>
                <w:sz w:val="20"/>
              </w:rPr>
              <w:t>Not selected</w:t>
            </w:r>
          </w:p>
        </w:tc>
      </w:tr>
    </w:tbl>
    <w:p/>
    <w:p>
      <w:pPr>
        <w:ind w:firstLine="360"/>
        <w:jc w:val="both"/>
        <w:spacing w:before="40" w:after="60"/>
      </w:pPr>
      <w:r>
        <w:rPr>
          <w:sz w:val="22"/>
        </w:rPr>
        <w:t>The linear regression model achieves substantially superior accuracy compared to the MLP regressor on this dataset. This counterintuitive result — where the simpler model outperforms the more expressive neural network — is explained by the underlying physics: the electromechanical relationship is genuinely linear, and the MLP's additional capacity introduces unnecessary variance without any bias reduction benefit. The MLP's higher MAE (0.058 mm vs. 0.002 mm) suggests that the network overfits minor non-monotonic patterns in the training data that are not representative of the true relationship.</w:t>
      </w:r>
    </w:p>
    <w:p>
      <w:pPr>
        <w:ind w:firstLine="360"/>
        <w:jc w:val="both"/>
        <w:spacing w:before="40" w:after="60"/>
      </w:pPr>
      <w:r>
        <w:rPr>
          <w:sz w:val="22"/>
        </w:rPr>
        <w:t>The linear regression model is therefore selected as the structural surrogate, not only for its accuracy but also for its physical interpretability, negligible inference latency, and guaranteed generalization to unseen voltage combinations within the operating range. The fitted model coefficients provide direct insight into the electromechanical coupling characteristics of the MFC-wing system.</w:t>
      </w:r>
    </w:p>
    <w:p>
      <w:pPr>
        <w:pStyle w:val="Heading2"/>
        <w:jc w:val="left"/>
      </w:pPr>
      <w:r>
        <w:rPr>
          <w:color w:val="1A5C9C"/>
          <w:sz w:val="26"/>
        </w:rPr>
        <w:t>3.3 Validation &amp; Residual Analysis</w:t>
      </w:r>
    </w:p>
    <w:p>
      <w:pPr>
        <w:ind w:firstLine="360"/>
        <w:jc w:val="both"/>
        <w:spacing w:before="40" w:after="60"/>
      </w:pPr>
      <w:r>
        <w:rPr>
          <w:sz w:val="22"/>
        </w:rPr>
        <w:t>The structural surrogate is validated on the held-out 20% test set (60 FEA points). Validation metrics are computed on unseen data to ensure that the reported performance is not inflated by overfitting. The parity plot (Figure 3, left panel) shows predicted versus actual trailing-edge deflection across the full range [−8.47, −0.37] mm. Points lie virtually on the ideal 45° diagonal, with no systematic bias or heteroscedasticity across the deflection range.</w:t>
      </w:r>
    </w:p>
    <w:p>
      <w:pPr>
        <w:ind w:firstLine="360"/>
        <w:jc w:val="both"/>
        <w:spacing w:before="40" w:after="60"/>
      </w:pPr>
      <w:r>
        <w:rPr>
          <w:sz w:val="22"/>
        </w:rPr>
        <w:t>The residual histogram (Figure 3, right panel) confirms that prediction errors follow an approximately zero-mean Gaussian distribution with standard deviation ≈ 0.003 mm. This distribution is consistent with random measurement noise in the FEA solver rather than any systematic modelling error — the linear regression model has effectively captured the complete deterministic signal in the data. The maximum absolute error across all 300 training and test points is 0.012 mm, which is negligible compared to the deflection range of ~8 mm (relative error &lt; 0.15%).</w:t>
      </w:r>
    </w:p>
    <w:p>
      <w:pPr>
        <w:jc w:val="center"/>
        <w:spacing w:before="80" w:after="20"/>
      </w:pPr>
      <w:r>
        <w:drawing>
          <wp:inline xmlns:a="http://schemas.openxmlformats.org/drawingml/2006/main" xmlns:pic="http://schemas.openxmlformats.org/drawingml/2006/picture">
            <wp:extent cx="5486400" cy="3192087"/>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486400" cy="3192087"/>
                    </a:xfrm>
                    <a:prstGeom prst="rect"/>
                  </pic:spPr>
                </pic:pic>
              </a:graphicData>
            </a:graphic>
          </wp:inline>
        </w:drawing>
      </w:r>
    </w:p>
    <w:p>
      <w:pPr>
        <w:jc w:val="center"/>
        <w:spacing w:before="0" w:after="160"/>
      </w:pPr>
      <w:r>
        <w:rPr>
          <w:i/>
          <w:color w:val="444444"/>
          <w:sz w:val="19"/>
        </w:rPr>
        <w:t>Figure 3: Structural surrogate validation. Left: Parity plot showing predicted vs. actual trailing-edge deflection for all 300 FEA samples. Points cluster tightly on the 45° diagonal, indicating near-perfect predictions. Right: Histogram of residuals centered at zero with a Gaussian profile, confirming unbiased, symmetric prediction errors.</w:t>
      </w:r>
    </w:p>
    <w:p>
      <w:pPr>
        <w:jc w:val="center"/>
        <w:spacing w:before="80" w:after="20"/>
      </w:pPr>
      <w:r>
        <w:drawing>
          <wp:inline xmlns:a="http://schemas.openxmlformats.org/drawingml/2006/main" xmlns:pic="http://schemas.openxmlformats.org/drawingml/2006/picture">
            <wp:extent cx="5486400" cy="5103119"/>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86400" cy="5103119"/>
                    </a:xfrm>
                    <a:prstGeom prst="rect"/>
                  </pic:spPr>
                </pic:pic>
              </a:graphicData>
            </a:graphic>
          </wp:inline>
        </w:drawing>
      </w:r>
    </w:p>
    <w:p>
      <w:pPr>
        <w:jc w:val="center"/>
        <w:spacing w:before="0" w:after="160"/>
      </w:pPr>
      <w:r>
        <w:rPr>
          <w:i/>
          <w:color w:val="444444"/>
          <w:sz w:val="19"/>
        </w:rPr>
        <w:t>Figure 4: Trailing-edge deflection as a function of upper MFC voltage for four fixed lower voltages (−50 V, −200 V, −350 V, −500 V). Solid/dashed lines show surrogate predictions; scatter points show ANSYS FEA data. The linear dependence on both voltages is clearly captured, and the parallel line spacing confirms the additive separability of lower- and upper-voltage effects.</w:t>
      </w:r>
    </w:p>
    <w:p>
      <w:pPr>
        <w:ind w:firstLine="360"/>
        <w:jc w:val="both"/>
        <w:spacing w:before="40" w:after="60"/>
      </w:pPr>
      <w:r>
        <w:rPr>
          <w:sz w:val="22"/>
        </w:rPr>
        <w:t>Figure 4 illustrates the physical response surface predicted by the structural surrogate: for each fixed lower voltage, the trailing-edge deflection varies linearly with upper voltage (positive slope), and changing the lower voltage shifts the deflection curve downward in a uniform, parallel manner. This additive separability is a hallmark of the linear model and is fully consistent with the superposition principle that governs linear structural mechanics. The surrogate's ability to reproduce these physical characteristics exactly — rather than only achieving numerical accuracy — provides strong confidence in its use for inverse control and physical interpretation.</w:t>
      </w:r>
    </w:p>
    <w:p>
      <w:r>
        <w:br w:type="page"/>
      </w:r>
    </w:p>
    <w:p>
      <w:pPr>
        <w:pStyle w:val="Heading1"/>
        <w:jc w:val="left"/>
      </w:pPr>
      <w:r>
        <w:rPr>
          <w:color w:val="1A2A6C"/>
          <w:sz w:val="30"/>
        </w:rPr>
        <w:t>4. AERODYNAMIC SURROGATE MODEL</w:t>
      </w:r>
    </w:p>
    <w:p>
      <w:pPr>
        <w:pStyle w:val="Heading2"/>
        <w:jc w:val="left"/>
      </w:pPr>
      <w:r>
        <w:rPr>
          <w:color w:val="1A5C9C"/>
          <w:sz w:val="26"/>
        </w:rPr>
        <w:t>4.1 Aerodynamic Modelling Challenges</w:t>
      </w:r>
    </w:p>
    <w:p>
      <w:pPr>
        <w:ind w:firstLine="360"/>
        <w:jc w:val="both"/>
        <w:spacing w:before="40" w:after="60"/>
      </w:pPr>
      <w:r>
        <w:rPr>
          <w:sz w:val="22"/>
        </w:rPr>
        <w:t>Aerodynamic modelling of a morphing wing is substantially more challenging than structural modelling for several interconnected reasons. First, the relationship between camber deflection and aerodynamic coefficients is inherently nonlinear, particularly near stall angles and at large camber deformations where flow separation effects become significant. Thin airfoil theory predicts a linear relationship between camber and CL at low angles of attack, but this linearity breaks down beyond approximately 8–10° pitch angle for NACA 0009, where boundary layer separation introduces strongly nonlinear CL behaviour and a rapid rise in CD.</w:t>
      </w:r>
    </w:p>
    <w:p>
      <w:pPr>
        <w:ind w:firstLine="360"/>
        <w:jc w:val="both"/>
        <w:spacing w:before="40" w:after="60"/>
      </w:pPr>
      <w:r>
        <w:rPr>
          <w:sz w:val="22"/>
        </w:rPr>
        <w:t>Second, the aerodynamic problem has three inputs — trailing-edge deflection δ, pitch angle α, and implicitly the Reynolds number Re — compared to only two for the structural problem. The interaction between δ and α in determining CL and CD is highly coupled: the effect of a given deflection on CL is much more pronounced at intermediate pitch angles (4°–12°) than near zero or stall. This cross-coupling requires a model capable of capturing nonlinear interaction effects.</w:t>
      </w:r>
    </w:p>
    <w:p>
      <w:pPr>
        <w:ind w:firstLine="360"/>
        <w:jc w:val="both"/>
        <w:spacing w:before="40" w:after="60"/>
      </w:pPr>
      <w:r>
        <w:rPr>
          <w:sz w:val="22"/>
        </w:rPr>
        <w:t>Third, the CFD dataset's sparsity — only 201 points at 3 discrete voltage levels — means that a naive interpolation approach cannot reliably capture the continuous variation of CL and CD with deflection. A model trained only on these three voltage levels risks poor generalization to intermediate voltages, which span the majority of the operating envelope relevant to practical control.</w:t>
      </w:r>
    </w:p>
    <w:p>
      <w:pPr>
        <w:ind w:firstLine="360"/>
        <w:jc w:val="both"/>
        <w:spacing w:before="40" w:after="60"/>
      </w:pPr>
      <w:r>
        <w:rPr>
          <w:sz w:val="22"/>
        </w:rPr>
        <w:t>These challenges motivate the combination of (a) a Multi-Layer Perceptron (MLP) neural network for its universal approximation capability and ability to model nonlinear interactions, and (b) physics-consistent synthetic data augmentation to overcome data sparsity without introducing physically inconsistent predictions.</w:t>
      </w:r>
    </w:p>
    <w:p>
      <w:pPr>
        <w:pStyle w:val="Heading2"/>
        <w:jc w:val="left"/>
      </w:pPr>
      <w:r>
        <w:rPr>
          <w:color w:val="1A5C9C"/>
          <w:sz w:val="26"/>
        </w:rPr>
        <w:t>4.2 Original vs. Augmented Data Comparison</w:t>
      </w:r>
    </w:p>
    <w:p>
      <w:pPr>
        <w:ind w:firstLine="360"/>
        <w:jc w:val="both"/>
        <w:spacing w:before="40" w:after="60"/>
      </w:pPr>
      <w:r>
        <w:rPr>
          <w:sz w:val="22"/>
        </w:rPr>
        <w:t>A systematic comparison is performed between surrogates trained on the original 201 CFD points and surrogates retrained on the augmented dataset (~8,000 points). For fairness, both evaluations use the same held-out test set of 40 real CFD points (never seen during training of either model). This ensures that the performance improvement attributed to augmentation is genuinely due to improved generalization rather than a change in the evaluation dataset.</w:t>
      </w:r>
    </w:p>
    <w:p>
      <w:pPr>
        <w:pStyle w:val="Heading3"/>
        <w:jc w:val="left"/>
      </w:pPr>
      <w:r>
        <w:rPr>
          <w:color w:val="2374AB"/>
          <w:sz w:val="23"/>
        </w:rPr>
        <w:t>Original Data Results (201 CFD points, 20% test split):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592"/>
            <w:shd w:val="clear" w:color="auto" w:fill="1A2A6C"/>
          </w:tcPr>
          <w:p>
            <w:pPr>
              <w:jc w:val="center"/>
            </w:pPr>
            <w:r>
              <w:rPr>
                <w:b/>
                <w:color w:val="FFFFFF"/>
                <w:sz w:val="20"/>
              </w:rPr>
              <w:t>Model</w:t>
            </w:r>
          </w:p>
        </w:tc>
        <w:tc>
          <w:tcPr>
            <w:tcW w:type="dxa" w:w="1152"/>
            <w:shd w:val="clear" w:color="auto" w:fill="1A2A6C"/>
          </w:tcPr>
          <w:p>
            <w:pPr>
              <w:jc w:val="center"/>
            </w:pPr>
            <w:r>
              <w:rPr>
                <w:b/>
                <w:color w:val="FFFFFF"/>
                <w:sz w:val="20"/>
              </w:rPr>
              <w:t>CL MAE</w:t>
            </w:r>
          </w:p>
        </w:tc>
        <w:tc>
          <w:tcPr>
            <w:tcW w:type="dxa" w:w="1008"/>
            <w:shd w:val="clear" w:color="auto" w:fill="1A2A6C"/>
          </w:tcPr>
          <w:p>
            <w:pPr>
              <w:jc w:val="center"/>
            </w:pPr>
            <w:r>
              <w:rPr>
                <w:b/>
                <w:color w:val="FFFFFF"/>
                <w:sz w:val="20"/>
              </w:rPr>
              <w:t>CL R²</w:t>
            </w:r>
          </w:p>
        </w:tc>
        <w:tc>
          <w:tcPr>
            <w:tcW w:type="dxa" w:w="1152"/>
            <w:shd w:val="clear" w:color="auto" w:fill="1A2A6C"/>
          </w:tcPr>
          <w:p>
            <w:pPr>
              <w:jc w:val="center"/>
            </w:pPr>
            <w:r>
              <w:rPr>
                <w:b/>
                <w:color w:val="FFFFFF"/>
                <w:sz w:val="20"/>
              </w:rPr>
              <w:t>CD MAE</w:t>
            </w:r>
          </w:p>
        </w:tc>
        <w:tc>
          <w:tcPr>
            <w:tcW w:type="dxa" w:w="1008"/>
            <w:shd w:val="clear" w:color="auto" w:fill="1A2A6C"/>
          </w:tcPr>
          <w:p>
            <w:pPr>
              <w:jc w:val="center"/>
            </w:pPr>
            <w:r>
              <w:rPr>
                <w:b/>
                <w:color w:val="FFFFFF"/>
                <w:sz w:val="20"/>
              </w:rPr>
              <w:t>CD R²</w:t>
            </w:r>
          </w:p>
        </w:tc>
        <w:tc>
          <w:tcPr>
            <w:tcW w:type="dxa" w:w="2592"/>
            <w:shd w:val="clear" w:color="auto" w:fill="1A2A6C"/>
          </w:tcPr>
          <w:p>
            <w:pPr>
              <w:jc w:val="center"/>
            </w:pPr>
            <w:r>
              <w:rPr>
                <w:b/>
                <w:color w:val="FFFFFF"/>
                <w:sz w:val="20"/>
              </w:rPr>
              <w:t>Notes</w:t>
            </w:r>
          </w:p>
        </w:tc>
      </w:tr>
      <w:tr>
        <w:tc>
          <w:tcPr>
            <w:tcW w:type="dxa" w:w="2592"/>
            <w:shd w:val="clear" w:color="auto" w:fill="EBF3FB"/>
          </w:tcPr>
          <w:p>
            <w:pPr>
              <w:jc w:val="center"/>
            </w:pPr>
            <w:r>
              <w:rPr>
                <w:sz w:val="20"/>
              </w:rPr>
              <w:t>Linear Regression</w:t>
            </w:r>
          </w:p>
        </w:tc>
        <w:tc>
          <w:tcPr>
            <w:tcW w:type="dxa" w:w="1152"/>
            <w:shd w:val="clear" w:color="auto" w:fill="EBF3FB"/>
          </w:tcPr>
          <w:p>
            <w:pPr>
              <w:jc w:val="center"/>
            </w:pPr>
            <w:r>
              <w:rPr>
                <w:sz w:val="20"/>
              </w:rPr>
              <w:t>0.00591</w:t>
            </w:r>
          </w:p>
        </w:tc>
        <w:tc>
          <w:tcPr>
            <w:tcW w:type="dxa" w:w="1008"/>
            <w:shd w:val="clear" w:color="auto" w:fill="EBF3FB"/>
          </w:tcPr>
          <w:p>
            <w:pPr>
              <w:jc w:val="center"/>
            </w:pPr>
            <w:r>
              <w:rPr>
                <w:sz w:val="20"/>
              </w:rPr>
              <w:t>0.981</w:t>
            </w:r>
          </w:p>
        </w:tc>
        <w:tc>
          <w:tcPr>
            <w:tcW w:type="dxa" w:w="1152"/>
            <w:shd w:val="clear" w:color="auto" w:fill="EBF3FB"/>
          </w:tcPr>
          <w:p>
            <w:pPr>
              <w:jc w:val="center"/>
            </w:pPr>
            <w:r>
              <w:rPr>
                <w:sz w:val="20"/>
              </w:rPr>
              <w:t>0.00956</w:t>
            </w:r>
          </w:p>
        </w:tc>
        <w:tc>
          <w:tcPr>
            <w:tcW w:type="dxa" w:w="1008"/>
            <w:shd w:val="clear" w:color="auto" w:fill="EBF3FB"/>
          </w:tcPr>
          <w:p>
            <w:pPr>
              <w:jc w:val="center"/>
            </w:pPr>
            <w:r>
              <w:rPr>
                <w:sz w:val="20"/>
              </w:rPr>
              <w:t>0.828</w:t>
            </w:r>
          </w:p>
        </w:tc>
        <w:tc>
          <w:tcPr>
            <w:tcW w:type="dxa" w:w="2592"/>
            <w:shd w:val="clear" w:color="auto" w:fill="EBF3FB"/>
          </w:tcPr>
          <w:p>
            <w:pPr>
              <w:jc w:val="center"/>
            </w:pPr>
            <w:r>
              <w:rPr>
                <w:sz w:val="20"/>
              </w:rPr>
              <w:t>Baseline</w:t>
            </w:r>
          </w:p>
        </w:tc>
      </w:tr>
      <w:tr>
        <w:tc>
          <w:tcPr>
            <w:tcW w:type="dxa" w:w="2592"/>
            <w:shd w:val="clear" w:color="auto" w:fill="FFFFFF"/>
          </w:tcPr>
          <w:p>
            <w:pPr>
              <w:jc w:val="center"/>
            </w:pPr>
            <w:r>
              <w:rPr>
                <w:sz w:val="20"/>
              </w:rPr>
              <w:t>MLP Regressor</w:t>
            </w:r>
          </w:p>
        </w:tc>
        <w:tc>
          <w:tcPr>
            <w:tcW w:type="dxa" w:w="1152"/>
            <w:shd w:val="clear" w:color="auto" w:fill="FFFFFF"/>
          </w:tcPr>
          <w:p>
            <w:pPr>
              <w:jc w:val="center"/>
            </w:pPr>
            <w:r>
              <w:rPr>
                <w:sz w:val="20"/>
              </w:rPr>
              <w:t>0.01014</w:t>
            </w:r>
          </w:p>
        </w:tc>
        <w:tc>
          <w:tcPr>
            <w:tcW w:type="dxa" w:w="1008"/>
            <w:shd w:val="clear" w:color="auto" w:fill="FFFFFF"/>
          </w:tcPr>
          <w:p>
            <w:pPr>
              <w:jc w:val="center"/>
            </w:pPr>
            <w:r>
              <w:rPr>
                <w:sz w:val="20"/>
              </w:rPr>
              <w:t>0.956</w:t>
            </w:r>
          </w:p>
        </w:tc>
        <w:tc>
          <w:tcPr>
            <w:tcW w:type="dxa" w:w="1152"/>
            <w:shd w:val="clear" w:color="auto" w:fill="FFFFFF"/>
          </w:tcPr>
          <w:p>
            <w:pPr>
              <w:jc w:val="center"/>
            </w:pPr>
            <w:r>
              <w:rPr>
                <w:sz w:val="20"/>
              </w:rPr>
              <w:t>0.01066</w:t>
            </w:r>
          </w:p>
        </w:tc>
        <w:tc>
          <w:tcPr>
            <w:tcW w:type="dxa" w:w="1008"/>
            <w:shd w:val="clear" w:color="auto" w:fill="FFFFFF"/>
          </w:tcPr>
          <w:p>
            <w:pPr>
              <w:jc w:val="center"/>
            </w:pPr>
            <w:r>
              <w:rPr>
                <w:sz w:val="20"/>
              </w:rPr>
              <w:t>0.700</w:t>
            </w:r>
          </w:p>
        </w:tc>
        <w:tc>
          <w:tcPr>
            <w:tcW w:type="dxa" w:w="2592"/>
            <w:shd w:val="clear" w:color="auto" w:fill="FFFFFF"/>
          </w:tcPr>
          <w:p>
            <w:pPr>
              <w:jc w:val="center"/>
            </w:pPr>
            <w:r>
              <w:rPr>
                <w:sz w:val="20"/>
              </w:rPr>
              <w:t>Overfits sparse data</w:t>
            </w:r>
          </w:p>
        </w:tc>
      </w:tr>
    </w:tbl>
    <w:p/>
    <w:p>
      <w:pPr>
        <w:ind w:firstLine="360"/>
        <w:jc w:val="both"/>
        <w:spacing w:before="40" w:after="60"/>
      </w:pPr>
      <w:r>
        <w:rPr>
          <w:sz w:val="22"/>
        </w:rPr>
        <w:t>On the original sparse dataset, the linear regression surprisingly outperforms the MLP for both CL and CD. The MLP's poor performance (CD R² = 0.70) is a classic symptom of a high-capacity model overfitting a small, non-uniformly distributed dataset. The 201 points clustered at only three voltage levels provide insufficient diversity for the MLP to learn generalizable nonlinear patterns — instead, it learns spurious patterns specific to the three sampled voltage levels.</w:t>
      </w:r>
    </w:p>
    <w:p>
      <w:pPr>
        <w:pStyle w:val="Heading3"/>
        <w:jc w:val="left"/>
      </w:pPr>
      <w:r>
        <w:rPr>
          <w:color w:val="2374AB"/>
          <w:sz w:val="23"/>
        </w:rPr>
        <w:t>Augmented Data Results (retrained on ~8,000 points, tested on 40 real CFD points):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592"/>
            <w:shd w:val="clear" w:color="auto" w:fill="1A2A6C"/>
          </w:tcPr>
          <w:p>
            <w:pPr>
              <w:jc w:val="center"/>
            </w:pPr>
            <w:r>
              <w:rPr>
                <w:b/>
                <w:color w:val="FFFFFF"/>
                <w:sz w:val="20"/>
              </w:rPr>
              <w:t>Model</w:t>
            </w:r>
          </w:p>
        </w:tc>
        <w:tc>
          <w:tcPr>
            <w:tcW w:type="dxa" w:w="1152"/>
            <w:shd w:val="clear" w:color="auto" w:fill="1A2A6C"/>
          </w:tcPr>
          <w:p>
            <w:pPr>
              <w:jc w:val="center"/>
            </w:pPr>
            <w:r>
              <w:rPr>
                <w:b/>
                <w:color w:val="FFFFFF"/>
                <w:sz w:val="20"/>
              </w:rPr>
              <w:t>CL MAE</w:t>
            </w:r>
          </w:p>
        </w:tc>
        <w:tc>
          <w:tcPr>
            <w:tcW w:type="dxa" w:w="1008"/>
            <w:shd w:val="clear" w:color="auto" w:fill="1A2A6C"/>
          </w:tcPr>
          <w:p>
            <w:pPr>
              <w:jc w:val="center"/>
            </w:pPr>
            <w:r>
              <w:rPr>
                <w:b/>
                <w:color w:val="FFFFFF"/>
                <w:sz w:val="20"/>
              </w:rPr>
              <w:t>CL R²</w:t>
            </w:r>
          </w:p>
        </w:tc>
        <w:tc>
          <w:tcPr>
            <w:tcW w:type="dxa" w:w="1152"/>
            <w:shd w:val="clear" w:color="auto" w:fill="1A2A6C"/>
          </w:tcPr>
          <w:p>
            <w:pPr>
              <w:jc w:val="center"/>
            </w:pPr>
            <w:r>
              <w:rPr>
                <w:b/>
                <w:color w:val="FFFFFF"/>
                <w:sz w:val="20"/>
              </w:rPr>
              <w:t>CD MAE</w:t>
            </w:r>
          </w:p>
        </w:tc>
        <w:tc>
          <w:tcPr>
            <w:tcW w:type="dxa" w:w="1008"/>
            <w:shd w:val="clear" w:color="auto" w:fill="1A2A6C"/>
          </w:tcPr>
          <w:p>
            <w:pPr>
              <w:jc w:val="center"/>
            </w:pPr>
            <w:r>
              <w:rPr>
                <w:b/>
                <w:color w:val="FFFFFF"/>
                <w:sz w:val="20"/>
              </w:rPr>
              <w:t>CD R²</w:t>
            </w:r>
          </w:p>
        </w:tc>
        <w:tc>
          <w:tcPr>
            <w:tcW w:type="dxa" w:w="2592"/>
            <w:shd w:val="clear" w:color="auto" w:fill="1A2A6C"/>
          </w:tcPr>
          <w:p>
            <w:pPr>
              <w:jc w:val="center"/>
            </w:pPr>
            <w:r>
              <w:rPr>
                <w:b/>
                <w:color w:val="FFFFFF"/>
                <w:sz w:val="20"/>
              </w:rPr>
              <w:t>Status</w:t>
            </w:r>
          </w:p>
        </w:tc>
      </w:tr>
      <w:tr>
        <w:tc>
          <w:tcPr>
            <w:tcW w:type="dxa" w:w="2592"/>
            <w:shd w:val="clear" w:color="auto" w:fill="EBF3FB"/>
          </w:tcPr>
          <w:p>
            <w:pPr>
              <w:jc w:val="center"/>
            </w:pPr>
            <w:r>
              <w:rPr>
                <w:sz w:val="20"/>
              </w:rPr>
              <w:t>Linear Regression</w:t>
            </w:r>
          </w:p>
        </w:tc>
        <w:tc>
          <w:tcPr>
            <w:tcW w:type="dxa" w:w="1152"/>
            <w:shd w:val="clear" w:color="auto" w:fill="EBF3FB"/>
          </w:tcPr>
          <w:p>
            <w:pPr>
              <w:jc w:val="center"/>
            </w:pPr>
            <w:r>
              <w:rPr>
                <w:sz w:val="20"/>
              </w:rPr>
              <w:t>0.00529</w:t>
            </w:r>
          </w:p>
        </w:tc>
        <w:tc>
          <w:tcPr>
            <w:tcW w:type="dxa" w:w="1008"/>
            <w:shd w:val="clear" w:color="auto" w:fill="EBF3FB"/>
          </w:tcPr>
          <w:p>
            <w:pPr>
              <w:jc w:val="center"/>
            </w:pPr>
            <w:r>
              <w:rPr>
                <w:sz w:val="20"/>
              </w:rPr>
              <w:t>0.991</w:t>
            </w:r>
          </w:p>
        </w:tc>
        <w:tc>
          <w:tcPr>
            <w:tcW w:type="dxa" w:w="1152"/>
            <w:shd w:val="clear" w:color="auto" w:fill="EBF3FB"/>
          </w:tcPr>
          <w:p>
            <w:pPr>
              <w:jc w:val="center"/>
            </w:pPr>
            <w:r>
              <w:rPr>
                <w:sz w:val="20"/>
              </w:rPr>
              <w:t>0.00952</w:t>
            </w:r>
          </w:p>
        </w:tc>
        <w:tc>
          <w:tcPr>
            <w:tcW w:type="dxa" w:w="1008"/>
            <w:shd w:val="clear" w:color="auto" w:fill="EBF3FB"/>
          </w:tcPr>
          <w:p>
            <w:pPr>
              <w:jc w:val="center"/>
            </w:pPr>
            <w:r>
              <w:rPr>
                <w:sz w:val="20"/>
              </w:rPr>
              <w:t>0.860</w:t>
            </w:r>
          </w:p>
        </w:tc>
        <w:tc>
          <w:tcPr>
            <w:tcW w:type="dxa" w:w="2592"/>
            <w:shd w:val="clear" w:color="auto" w:fill="EBF3FB"/>
          </w:tcPr>
          <w:p>
            <w:pPr>
              <w:jc w:val="center"/>
            </w:pPr>
            <w:r>
              <w:rPr>
                <w:sz w:val="20"/>
              </w:rPr>
              <w:t>Marginal improvement</w:t>
            </w:r>
          </w:p>
        </w:tc>
      </w:tr>
      <w:tr>
        <w:tc>
          <w:tcPr>
            <w:tcW w:type="dxa" w:w="2592"/>
            <w:shd w:val="clear" w:color="auto" w:fill="FFFFFF"/>
          </w:tcPr>
          <w:p>
            <w:pPr>
              <w:jc w:val="center"/>
            </w:pPr>
            <w:r>
              <w:rPr>
                <w:sz w:val="20"/>
              </w:rPr>
              <w:t>MLP Regressor</w:t>
            </w:r>
          </w:p>
        </w:tc>
        <w:tc>
          <w:tcPr>
            <w:tcW w:type="dxa" w:w="1152"/>
            <w:shd w:val="clear" w:color="auto" w:fill="FFFFFF"/>
          </w:tcPr>
          <w:p>
            <w:pPr>
              <w:jc w:val="center"/>
            </w:pPr>
            <w:r>
              <w:rPr>
                <w:sz w:val="20"/>
              </w:rPr>
              <w:t>0.00222</w:t>
            </w:r>
          </w:p>
        </w:tc>
        <w:tc>
          <w:tcPr>
            <w:tcW w:type="dxa" w:w="1008"/>
            <w:shd w:val="clear" w:color="auto" w:fill="FFFFFF"/>
          </w:tcPr>
          <w:p>
            <w:pPr>
              <w:jc w:val="center"/>
            </w:pPr>
            <w:r>
              <w:rPr>
                <w:sz w:val="20"/>
              </w:rPr>
              <w:t>0.998</w:t>
            </w:r>
          </w:p>
        </w:tc>
        <w:tc>
          <w:tcPr>
            <w:tcW w:type="dxa" w:w="1152"/>
            <w:shd w:val="clear" w:color="auto" w:fill="FFFFFF"/>
          </w:tcPr>
          <w:p>
            <w:pPr>
              <w:jc w:val="center"/>
            </w:pPr>
            <w:r>
              <w:rPr>
                <w:sz w:val="20"/>
              </w:rPr>
              <w:t>0.00209</w:t>
            </w:r>
          </w:p>
        </w:tc>
        <w:tc>
          <w:tcPr>
            <w:tcW w:type="dxa" w:w="1008"/>
            <w:shd w:val="clear" w:color="auto" w:fill="FFFFFF"/>
          </w:tcPr>
          <w:p>
            <w:pPr>
              <w:jc w:val="center"/>
            </w:pPr>
            <w:r>
              <w:rPr>
                <w:sz w:val="20"/>
              </w:rPr>
              <w:t>0.991</w:t>
            </w:r>
          </w:p>
        </w:tc>
        <w:tc>
          <w:tcPr>
            <w:tcW w:type="dxa" w:w="2592"/>
            <w:shd w:val="clear" w:color="auto" w:fill="FFFFFF"/>
          </w:tcPr>
          <w:p>
            <w:pPr>
              <w:jc w:val="center"/>
            </w:pPr>
            <w:r>
              <w:rPr>
                <w:sz w:val="20"/>
              </w:rPr>
              <w:t>✓ Selected</w:t>
            </w:r>
          </w:p>
        </w:tc>
      </w:tr>
    </w:tbl>
    <w:p/>
    <w:p>
      <w:pPr>
        <w:ind w:firstLine="360"/>
        <w:jc w:val="both"/>
        <w:spacing w:before="40" w:after="60"/>
      </w:pPr>
      <w:r>
        <w:rPr>
          <w:sz w:val="22"/>
        </w:rPr>
        <w:t>After augmentation, the MLP dramatically outperforms the linear regression model. The CD R² improves from 0.70 to 0.991 — a 41% reduction in unexplained variance — while the CD MAE reduces from 0.01066 to 0.00209 (5× improvement). The CL performance also improves substantially (R²: 0.956 → 0.998, MAE improvement: 2.2×). This dramatic improvement demonstrates that the MLP's expressive capacity was always sufficient, but required adequate training data density to activate its generalization potential.</w:t>
      </w:r>
    </w:p>
    <w:p>
      <w:pPr>
        <w:ind w:firstLine="360"/>
        <w:jc w:val="both"/>
        <w:spacing w:before="40" w:after="60"/>
      </w:pPr>
      <w:r>
        <w:rPr>
          <w:sz w:val="22"/>
        </w:rPr>
        <w:t>Linear regression shows only marginal improvement with augmentation (CD R²: 0.828 → 0.860), confirming that the linear model has reached its representational capacity ceiling. The aerodynamic relationships — particularly the nonlinear coupling between pitch angle and deflection in determining CD — cannot be captured by a linear model regardless of data density. The augmented MLP is therefore selected as the aerodynamic surrogate for all subsequent analyses.</w:t>
      </w:r>
    </w:p>
    <w:p>
      <w:pPr>
        <w:pStyle w:val="Heading2"/>
        <w:jc w:val="left"/>
      </w:pPr>
      <w:r>
        <w:rPr>
          <w:color w:val="1A5C9C"/>
          <w:sz w:val="26"/>
        </w:rPr>
        <w:t>4.3 MLP Architecture &amp; Training Configuration</w:t>
      </w:r>
    </w:p>
    <w:p>
      <w:pPr>
        <w:ind w:firstLine="360"/>
        <w:jc w:val="both"/>
        <w:spacing w:before="40" w:after="60"/>
      </w:pPr>
      <w:r>
        <w:rPr>
          <w:sz w:val="22"/>
        </w:rPr>
        <w:t>The selected aerodynamic surrogate is a Multi-Layer Perceptron with the following architecture and training configuration, optimized through systematic hyperparameter search using 5-fold cross-validation on the augmented training set:</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val="clear" w:color="auto" w:fill="1A2A6C"/>
          </w:tcPr>
          <w:p>
            <w:pPr>
              <w:jc w:val="center"/>
            </w:pPr>
            <w:r>
              <w:rPr>
                <w:b/>
                <w:color w:val="FFFFFF"/>
                <w:sz w:val="20"/>
              </w:rPr>
              <w:t>Hyperparameter</w:t>
            </w:r>
          </w:p>
        </w:tc>
        <w:tc>
          <w:tcPr>
            <w:tcW w:type="dxa" w:w="3312"/>
            <w:shd w:val="clear" w:color="auto" w:fill="1A2A6C"/>
          </w:tcPr>
          <w:p>
            <w:pPr>
              <w:jc w:val="center"/>
            </w:pPr>
            <w:r>
              <w:rPr>
                <w:b/>
                <w:color w:val="FFFFFF"/>
                <w:sz w:val="20"/>
              </w:rPr>
              <w:t>Value</w:t>
            </w:r>
          </w:p>
        </w:tc>
        <w:tc>
          <w:tcPr>
            <w:tcW w:type="dxa" w:w="3168"/>
            <w:shd w:val="clear" w:color="auto" w:fill="1A2A6C"/>
          </w:tcPr>
          <w:p>
            <w:pPr>
              <w:jc w:val="center"/>
            </w:pPr>
            <w:r>
              <w:rPr>
                <w:b/>
                <w:color w:val="FFFFFF"/>
                <w:sz w:val="20"/>
              </w:rPr>
              <w:t>Rationale</w:t>
            </w:r>
          </w:p>
        </w:tc>
      </w:tr>
      <w:tr>
        <w:tc>
          <w:tcPr>
            <w:tcW w:type="dxa" w:w="2880"/>
            <w:shd w:val="clear" w:color="auto" w:fill="EBF3FB"/>
          </w:tcPr>
          <w:p>
            <w:pPr>
              <w:jc w:val="center"/>
            </w:pPr>
            <w:r>
              <w:rPr>
                <w:sz w:val="20"/>
              </w:rPr>
              <w:t>Input features</w:t>
            </w:r>
          </w:p>
        </w:tc>
        <w:tc>
          <w:tcPr>
            <w:tcW w:type="dxa" w:w="3312"/>
            <w:shd w:val="clear" w:color="auto" w:fill="EBF3FB"/>
          </w:tcPr>
          <w:p>
            <w:pPr>
              <w:jc w:val="center"/>
            </w:pPr>
            <w:r>
              <w:rPr>
                <w:sz w:val="20"/>
              </w:rPr>
              <w:t>3 (δ, α, and derived feature α²)</w:t>
            </w:r>
          </w:p>
        </w:tc>
        <w:tc>
          <w:tcPr>
            <w:tcW w:type="dxa" w:w="3168"/>
            <w:shd w:val="clear" w:color="auto" w:fill="EBF3FB"/>
          </w:tcPr>
          <w:p>
            <w:pPr>
              <w:jc w:val="center"/>
            </w:pPr>
            <w:r>
              <w:rPr>
                <w:sz w:val="20"/>
              </w:rPr>
              <w:t>Captures quadratic pitch dependence</w:t>
            </w:r>
          </w:p>
        </w:tc>
      </w:tr>
      <w:tr>
        <w:tc>
          <w:tcPr>
            <w:tcW w:type="dxa" w:w="2880"/>
            <w:shd w:val="clear" w:color="auto" w:fill="FFFFFF"/>
          </w:tcPr>
          <w:p>
            <w:pPr>
              <w:jc w:val="center"/>
            </w:pPr>
            <w:r>
              <w:rPr>
                <w:sz w:val="20"/>
              </w:rPr>
              <w:t>Hidden layers</w:t>
            </w:r>
          </w:p>
        </w:tc>
        <w:tc>
          <w:tcPr>
            <w:tcW w:type="dxa" w:w="3312"/>
            <w:shd w:val="clear" w:color="auto" w:fill="FFFFFF"/>
          </w:tcPr>
          <w:p>
            <w:pPr>
              <w:jc w:val="center"/>
            </w:pPr>
            <w:r>
              <w:rPr>
                <w:sz w:val="20"/>
              </w:rPr>
              <w:t>3 fully-connected layers</w:t>
            </w:r>
          </w:p>
        </w:tc>
        <w:tc>
          <w:tcPr>
            <w:tcW w:type="dxa" w:w="3168"/>
            <w:shd w:val="clear" w:color="auto" w:fill="FFFFFF"/>
          </w:tcPr>
          <w:p>
            <w:pPr>
              <w:jc w:val="center"/>
            </w:pPr>
            <w:r>
              <w:rPr>
                <w:sz w:val="20"/>
              </w:rPr>
              <w:t>Sufficient for smooth nonlinear mapping</w:t>
            </w:r>
          </w:p>
        </w:tc>
      </w:tr>
      <w:tr>
        <w:tc>
          <w:tcPr>
            <w:tcW w:type="dxa" w:w="2880"/>
            <w:shd w:val="clear" w:color="auto" w:fill="EBF3FB"/>
          </w:tcPr>
          <w:p>
            <w:pPr>
              <w:jc w:val="center"/>
            </w:pPr>
            <w:r>
              <w:rPr>
                <w:sz w:val="20"/>
              </w:rPr>
              <w:t>Hidden layer widths</w:t>
            </w:r>
          </w:p>
        </w:tc>
        <w:tc>
          <w:tcPr>
            <w:tcW w:type="dxa" w:w="3312"/>
            <w:shd w:val="clear" w:color="auto" w:fill="EBF3FB"/>
          </w:tcPr>
          <w:p>
            <w:pPr>
              <w:jc w:val="center"/>
            </w:pPr>
            <w:r>
              <w:rPr>
                <w:sz w:val="20"/>
              </w:rPr>
              <w:t>128 → 64 → 32 neurons</w:t>
            </w:r>
          </w:p>
        </w:tc>
        <w:tc>
          <w:tcPr>
            <w:tcW w:type="dxa" w:w="3168"/>
            <w:shd w:val="clear" w:color="auto" w:fill="EBF3FB"/>
          </w:tcPr>
          <w:p>
            <w:pPr>
              <w:jc w:val="center"/>
            </w:pPr>
            <w:r>
              <w:rPr>
                <w:sz w:val="20"/>
              </w:rPr>
              <w:t>Gradually narrowing pyramid</w:t>
            </w:r>
          </w:p>
        </w:tc>
      </w:tr>
      <w:tr>
        <w:tc>
          <w:tcPr>
            <w:tcW w:type="dxa" w:w="2880"/>
            <w:shd w:val="clear" w:color="auto" w:fill="FFFFFF"/>
          </w:tcPr>
          <w:p>
            <w:pPr>
              <w:jc w:val="center"/>
            </w:pPr>
            <w:r>
              <w:rPr>
                <w:sz w:val="20"/>
              </w:rPr>
              <w:t>Activation function</w:t>
            </w:r>
          </w:p>
        </w:tc>
        <w:tc>
          <w:tcPr>
            <w:tcW w:type="dxa" w:w="3312"/>
            <w:shd w:val="clear" w:color="auto" w:fill="FFFFFF"/>
          </w:tcPr>
          <w:p>
            <w:pPr>
              <w:jc w:val="center"/>
            </w:pPr>
            <w:r>
              <w:rPr>
                <w:sz w:val="20"/>
              </w:rPr>
              <w:t>ReLU</w:t>
            </w:r>
          </w:p>
        </w:tc>
        <w:tc>
          <w:tcPr>
            <w:tcW w:type="dxa" w:w="3168"/>
            <w:shd w:val="clear" w:color="auto" w:fill="FFFFFF"/>
          </w:tcPr>
          <w:p>
            <w:pPr>
              <w:jc w:val="center"/>
            </w:pPr>
            <w:r>
              <w:rPr>
                <w:sz w:val="20"/>
              </w:rPr>
              <w:t>Non-saturating, efficient training</w:t>
            </w:r>
          </w:p>
        </w:tc>
      </w:tr>
      <w:tr>
        <w:tc>
          <w:tcPr>
            <w:tcW w:type="dxa" w:w="2880"/>
            <w:shd w:val="clear" w:color="auto" w:fill="EBF3FB"/>
          </w:tcPr>
          <w:p>
            <w:pPr>
              <w:jc w:val="center"/>
            </w:pPr>
            <w:r>
              <w:rPr>
                <w:sz w:val="20"/>
              </w:rPr>
              <w:t>Output layer</w:t>
            </w:r>
          </w:p>
        </w:tc>
        <w:tc>
          <w:tcPr>
            <w:tcW w:type="dxa" w:w="3312"/>
            <w:shd w:val="clear" w:color="auto" w:fill="EBF3FB"/>
          </w:tcPr>
          <w:p>
            <w:pPr>
              <w:jc w:val="center"/>
            </w:pPr>
            <w:r>
              <w:rPr>
                <w:sz w:val="20"/>
              </w:rPr>
              <w:t>2 neurons (CL, CD), no activation</w:t>
            </w:r>
          </w:p>
        </w:tc>
        <w:tc>
          <w:tcPr>
            <w:tcW w:type="dxa" w:w="3168"/>
            <w:shd w:val="clear" w:color="auto" w:fill="EBF3FB"/>
          </w:tcPr>
          <w:p>
            <w:pPr>
              <w:jc w:val="center"/>
            </w:pPr>
            <w:r>
              <w:rPr>
                <w:sz w:val="20"/>
              </w:rPr>
              <w:t>Direct regression output</w:t>
            </w:r>
          </w:p>
        </w:tc>
      </w:tr>
      <w:tr>
        <w:tc>
          <w:tcPr>
            <w:tcW w:type="dxa" w:w="2880"/>
            <w:shd w:val="clear" w:color="auto" w:fill="FFFFFF"/>
          </w:tcPr>
          <w:p>
            <w:pPr>
              <w:jc w:val="center"/>
            </w:pPr>
            <w:r>
              <w:rPr>
                <w:sz w:val="20"/>
              </w:rPr>
              <w:t>Loss function</w:t>
            </w:r>
          </w:p>
        </w:tc>
        <w:tc>
          <w:tcPr>
            <w:tcW w:type="dxa" w:w="3312"/>
            <w:shd w:val="clear" w:color="auto" w:fill="FFFFFF"/>
          </w:tcPr>
          <w:p>
            <w:pPr>
              <w:jc w:val="center"/>
            </w:pPr>
            <w:r>
              <w:rPr>
                <w:sz w:val="20"/>
              </w:rPr>
              <w:t>Mean Squared Error (MSE)</w:t>
            </w:r>
          </w:p>
        </w:tc>
        <w:tc>
          <w:tcPr>
            <w:tcW w:type="dxa" w:w="3168"/>
            <w:shd w:val="clear" w:color="auto" w:fill="FFFFFF"/>
          </w:tcPr>
          <w:p>
            <w:pPr>
              <w:jc w:val="center"/>
            </w:pPr>
            <w:r>
              <w:rPr>
                <w:sz w:val="20"/>
              </w:rPr>
              <w:t>Standard for regression</w:t>
            </w:r>
          </w:p>
        </w:tc>
      </w:tr>
      <w:tr>
        <w:tc>
          <w:tcPr>
            <w:tcW w:type="dxa" w:w="2880"/>
            <w:shd w:val="clear" w:color="auto" w:fill="EBF3FB"/>
          </w:tcPr>
          <w:p>
            <w:pPr>
              <w:jc w:val="center"/>
            </w:pPr>
            <w:r>
              <w:rPr>
                <w:sz w:val="20"/>
              </w:rPr>
              <w:t>Optimizer</w:t>
            </w:r>
          </w:p>
        </w:tc>
        <w:tc>
          <w:tcPr>
            <w:tcW w:type="dxa" w:w="3312"/>
            <w:shd w:val="clear" w:color="auto" w:fill="EBF3FB"/>
          </w:tcPr>
          <w:p>
            <w:pPr>
              <w:jc w:val="center"/>
            </w:pPr>
            <w:r>
              <w:rPr>
                <w:sz w:val="20"/>
              </w:rPr>
              <w:t>Adam (lr = 1e-3, β₁ = 0.9, β₂ = 0.999)</w:t>
            </w:r>
          </w:p>
        </w:tc>
        <w:tc>
          <w:tcPr>
            <w:tcW w:type="dxa" w:w="3168"/>
            <w:shd w:val="clear" w:color="auto" w:fill="EBF3FB"/>
          </w:tcPr>
          <w:p>
            <w:pPr>
              <w:jc w:val="center"/>
            </w:pPr>
            <w:r>
              <w:rPr>
                <w:sz w:val="20"/>
              </w:rPr>
              <w:t>Adaptive learning rate</w:t>
            </w:r>
          </w:p>
        </w:tc>
      </w:tr>
      <w:tr>
        <w:tc>
          <w:tcPr>
            <w:tcW w:type="dxa" w:w="2880"/>
            <w:shd w:val="clear" w:color="auto" w:fill="FFFFFF"/>
          </w:tcPr>
          <w:p>
            <w:pPr>
              <w:jc w:val="center"/>
            </w:pPr>
            <w:r>
              <w:rPr>
                <w:sz w:val="20"/>
              </w:rPr>
              <w:t>Batch size</w:t>
            </w:r>
          </w:p>
        </w:tc>
        <w:tc>
          <w:tcPr>
            <w:tcW w:type="dxa" w:w="3312"/>
            <w:shd w:val="clear" w:color="auto" w:fill="FFFFFF"/>
          </w:tcPr>
          <w:p>
            <w:pPr>
              <w:jc w:val="center"/>
            </w:pPr>
            <w:r>
              <w:rPr>
                <w:sz w:val="20"/>
              </w:rPr>
              <w:t>128</w:t>
            </w:r>
          </w:p>
        </w:tc>
        <w:tc>
          <w:tcPr>
            <w:tcW w:type="dxa" w:w="3168"/>
            <w:shd w:val="clear" w:color="auto" w:fill="FFFFFF"/>
          </w:tcPr>
          <w:p>
            <w:pPr>
              <w:jc w:val="center"/>
            </w:pPr>
            <w:r>
              <w:rPr>
                <w:sz w:val="20"/>
              </w:rPr>
              <w:t>Stable gradient estimates</w:t>
            </w:r>
          </w:p>
        </w:tc>
      </w:tr>
      <w:tr>
        <w:tc>
          <w:tcPr>
            <w:tcW w:type="dxa" w:w="2880"/>
            <w:shd w:val="clear" w:color="auto" w:fill="EBF3FB"/>
          </w:tcPr>
          <w:p>
            <w:pPr>
              <w:jc w:val="center"/>
            </w:pPr>
            <w:r>
              <w:rPr>
                <w:sz w:val="20"/>
              </w:rPr>
              <w:t>Training epochs</w:t>
            </w:r>
          </w:p>
        </w:tc>
        <w:tc>
          <w:tcPr>
            <w:tcW w:type="dxa" w:w="3312"/>
            <w:shd w:val="clear" w:color="auto" w:fill="EBF3FB"/>
          </w:tcPr>
          <w:p>
            <w:pPr>
              <w:jc w:val="center"/>
            </w:pPr>
            <w:r>
              <w:rPr>
                <w:sz w:val="20"/>
              </w:rPr>
              <w:t>500 (with early stopping, patience = 50)</w:t>
            </w:r>
          </w:p>
        </w:tc>
        <w:tc>
          <w:tcPr>
            <w:tcW w:type="dxa" w:w="3168"/>
            <w:shd w:val="clear" w:color="auto" w:fill="EBF3FB"/>
          </w:tcPr>
          <w:p>
            <w:pPr>
              <w:jc w:val="center"/>
            </w:pPr>
            <w:r>
              <w:rPr>
                <w:sz w:val="20"/>
              </w:rPr>
              <w:t>Prevents overfitting</w:t>
            </w:r>
          </w:p>
        </w:tc>
      </w:tr>
      <w:tr>
        <w:tc>
          <w:tcPr>
            <w:tcW w:type="dxa" w:w="2880"/>
            <w:shd w:val="clear" w:color="auto" w:fill="FFFFFF"/>
          </w:tcPr>
          <w:p>
            <w:pPr>
              <w:jc w:val="center"/>
            </w:pPr>
            <w:r>
              <w:rPr>
                <w:sz w:val="20"/>
              </w:rPr>
              <w:t>Regularisation</w:t>
            </w:r>
          </w:p>
        </w:tc>
        <w:tc>
          <w:tcPr>
            <w:tcW w:type="dxa" w:w="3312"/>
            <w:shd w:val="clear" w:color="auto" w:fill="FFFFFF"/>
          </w:tcPr>
          <w:p>
            <w:pPr>
              <w:jc w:val="center"/>
            </w:pPr>
            <w:r>
              <w:rPr>
                <w:sz w:val="20"/>
              </w:rPr>
              <w:t>L2 weight decay λ = 1e-4</w:t>
            </w:r>
          </w:p>
        </w:tc>
        <w:tc>
          <w:tcPr>
            <w:tcW w:type="dxa" w:w="3168"/>
            <w:shd w:val="clear" w:color="auto" w:fill="FFFFFF"/>
          </w:tcPr>
          <w:p>
            <w:pPr>
              <w:jc w:val="center"/>
            </w:pPr>
            <w:r>
              <w:rPr>
                <w:sz w:val="20"/>
              </w:rPr>
              <w:t>Mild regularisation</w:t>
            </w:r>
          </w:p>
        </w:tc>
      </w:tr>
      <w:tr>
        <w:tc>
          <w:tcPr>
            <w:tcW w:type="dxa" w:w="2880"/>
            <w:shd w:val="clear" w:color="auto" w:fill="EBF3FB"/>
          </w:tcPr>
          <w:p>
            <w:pPr>
              <w:jc w:val="center"/>
            </w:pPr>
            <w:r>
              <w:rPr>
                <w:sz w:val="20"/>
              </w:rPr>
              <w:t>Feature scaling</w:t>
            </w:r>
          </w:p>
        </w:tc>
        <w:tc>
          <w:tcPr>
            <w:tcW w:type="dxa" w:w="3312"/>
            <w:shd w:val="clear" w:color="auto" w:fill="EBF3FB"/>
          </w:tcPr>
          <w:p>
            <w:pPr>
              <w:jc w:val="center"/>
            </w:pPr>
            <w:r>
              <w:rPr>
                <w:sz w:val="20"/>
              </w:rPr>
              <w:t>StandardScaler (zero mean, unit variance)</w:t>
            </w:r>
          </w:p>
        </w:tc>
        <w:tc>
          <w:tcPr>
            <w:tcW w:type="dxa" w:w="3168"/>
            <w:shd w:val="clear" w:color="auto" w:fill="EBF3FB"/>
          </w:tcPr>
          <w:p>
            <w:pPr>
              <w:jc w:val="center"/>
            </w:pPr>
            <w:r>
              <w:rPr>
                <w:sz w:val="20"/>
              </w:rPr>
              <w:t>Required for MLP convergence</w:t>
            </w:r>
          </w:p>
        </w:tc>
      </w:tr>
      <w:tr>
        <w:tc>
          <w:tcPr>
            <w:tcW w:type="dxa" w:w="2880"/>
            <w:shd w:val="clear" w:color="auto" w:fill="FFFFFF"/>
          </w:tcPr>
          <w:p>
            <w:pPr>
              <w:jc w:val="center"/>
            </w:pPr>
            <w:r>
              <w:rPr>
                <w:sz w:val="20"/>
              </w:rPr>
              <w:t>Train/test split</w:t>
            </w:r>
          </w:p>
        </w:tc>
        <w:tc>
          <w:tcPr>
            <w:tcW w:type="dxa" w:w="3312"/>
            <w:shd w:val="clear" w:color="auto" w:fill="FFFFFF"/>
          </w:tcPr>
          <w:p>
            <w:pPr>
              <w:jc w:val="center"/>
            </w:pPr>
            <w:r>
              <w:rPr>
                <w:sz w:val="20"/>
              </w:rPr>
              <w:t>80/20, stratified by pitch angle</w:t>
            </w:r>
          </w:p>
        </w:tc>
        <w:tc>
          <w:tcPr>
            <w:tcW w:type="dxa" w:w="3168"/>
            <w:shd w:val="clear" w:color="auto" w:fill="FFFFFF"/>
          </w:tcPr>
          <w:p>
            <w:pPr>
              <w:jc w:val="center"/>
            </w:pPr>
            <w:r>
              <w:rPr>
                <w:sz w:val="20"/>
              </w:rPr>
              <w:t>Ensures balanced validation</w:t>
            </w:r>
          </w:p>
        </w:tc>
      </w:tr>
    </w:tbl>
    <w:p/>
    <w:p>
      <w:pPr>
        <w:ind w:firstLine="360"/>
        <w:jc w:val="both"/>
        <w:spacing w:before="40" w:after="60"/>
      </w:pPr>
      <w:r>
        <w:rPr>
          <w:sz w:val="22"/>
        </w:rPr>
        <w:t>The inclusion of α² as a derived input feature reflects the known quadratic relationship between pitch angle and induced drag (CD ∝ CL² / (π e AR), where AR is the aspect ratio and e is the Oswald efficiency factor). While the MLP could in principle learn this relationship from data alone, providing it explicitly as a feature accelerates convergence and improves CD prediction accuracy, particularly at higher pitch angles where the induced drag component dominates.</w:t>
      </w:r>
    </w:p>
    <w:p>
      <w:pPr>
        <w:jc w:val="center"/>
        <w:spacing w:before="80" w:after="20"/>
      </w:pPr>
      <w:r>
        <w:drawing>
          <wp:inline xmlns:a="http://schemas.openxmlformats.org/drawingml/2006/main" xmlns:pic="http://schemas.openxmlformats.org/drawingml/2006/picture">
            <wp:extent cx="5669280" cy="3257147"/>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69280" cy="3257147"/>
                    </a:xfrm>
                    <a:prstGeom prst="rect"/>
                  </pic:spPr>
                </pic:pic>
              </a:graphicData>
            </a:graphic>
          </wp:inline>
        </w:drawing>
      </w:r>
    </w:p>
    <w:p>
      <w:pPr>
        <w:jc w:val="center"/>
        <w:spacing w:before="0" w:after="160"/>
      </w:pPr>
      <w:r>
        <w:rPr>
          <w:i/>
          <w:color w:val="444444"/>
          <w:sz w:val="19"/>
        </w:rPr>
        <w:t>Figure 5: Selected aerodynamic MLP surrogate parity plots on the held-out 40 real CFD test points. (a) CL predictions: MAE = 0.0022, R² = 0.998 — points cluster tightly on the diagonal with no systematic bias. (b) CD predictions: MAE = 0.0021, R² = 0.991 — slightly more scatter at higher CD values (high pitch angles) but no catastrophic errors.</w:t>
      </w:r>
    </w:p>
    <w:p>
      <w:r>
        <w:br w:type="page"/>
      </w:r>
    </w:p>
    <w:p>
      <w:pPr>
        <w:pStyle w:val="Heading1"/>
        <w:jc w:val="left"/>
      </w:pPr>
      <w:r>
        <w:rPr>
          <w:color w:val="1A2A6C"/>
          <w:sz w:val="30"/>
        </w:rPr>
        <w:t>5. INTEGRATED CHAINED FRAMEWORK</w:t>
      </w:r>
    </w:p>
    <w:p>
      <w:pPr>
        <w:pStyle w:val="Heading2"/>
        <w:jc w:val="left"/>
      </w:pPr>
      <w:r>
        <w:rPr>
          <w:color w:val="1A5C9C"/>
          <w:sz w:val="26"/>
        </w:rPr>
        <w:t>5.1 Full-Pipeline Performance</w:t>
      </w:r>
    </w:p>
    <w:p>
      <w:pPr>
        <w:ind w:firstLine="360"/>
        <w:jc w:val="both"/>
        <w:spacing w:before="40" w:after="60"/>
      </w:pPr>
      <w:r>
        <w:rPr>
          <w:sz w:val="22"/>
        </w:rPr>
        <w:t>The chained inference pipeline connects the structural and aerodynamic surrogates in series, propagating voltage inputs through the structural model to obtain deflection, and then through the aerodynamic model to obtain CL and CD. This end-to-end pipeline is evaluated on the full set of 201 real CFD data points, using the true voltages as inputs. For each CFD point, the corresponding voltage pair that produced the tested deflection is known, allowing the chained pipeline to be evaluated against the true CFD CL and CD.</w:t>
      </w:r>
    </w:p>
    <w:p>
      <w:pPr>
        <w:ind w:firstLine="360"/>
        <w:jc w:val="both"/>
        <w:spacing w:before="40" w:after="60"/>
      </w:pPr>
      <w:r>
        <w:rPr>
          <w:sz w:val="22"/>
        </w:rPr>
        <w:t>Crucially, the chained pipeline evaluation includes the error propagation from the structural stage: the structural surrogate's deflection prediction (slightly different from the true FEA deflection) is passed to the aerodynamic surrogate, so the aerodynamic errors reflect both models' contributions. This end-to-end test is the most stringent and practically relevant evaluation of the framework's performance.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032"/>
            <w:shd w:val="clear" w:color="auto" w:fill="1A2A6C"/>
          </w:tcPr>
          <w:p>
            <w:pPr>
              <w:jc w:val="center"/>
            </w:pPr>
            <w:r>
              <w:rPr>
                <w:b/>
                <w:color w:val="FFFFFF"/>
                <w:sz w:val="20"/>
              </w:rPr>
              <w:t>Pipeline Configuration</w:t>
            </w:r>
          </w:p>
        </w:tc>
        <w:tc>
          <w:tcPr>
            <w:tcW w:type="dxa" w:w="1152"/>
            <w:shd w:val="clear" w:color="auto" w:fill="1A2A6C"/>
          </w:tcPr>
          <w:p>
            <w:pPr>
              <w:jc w:val="center"/>
            </w:pPr>
            <w:r>
              <w:rPr>
                <w:b/>
                <w:color w:val="FFFFFF"/>
                <w:sz w:val="20"/>
              </w:rPr>
              <w:t>CL MAE</w:t>
            </w:r>
          </w:p>
        </w:tc>
        <w:tc>
          <w:tcPr>
            <w:tcW w:type="dxa" w:w="1152"/>
            <w:shd w:val="clear" w:color="auto" w:fill="1A2A6C"/>
          </w:tcPr>
          <w:p>
            <w:pPr>
              <w:jc w:val="center"/>
            </w:pPr>
            <w:r>
              <w:rPr>
                <w:b/>
                <w:color w:val="FFFFFF"/>
                <w:sz w:val="20"/>
              </w:rPr>
              <w:t>CD MAE</w:t>
            </w:r>
          </w:p>
        </w:tc>
        <w:tc>
          <w:tcPr>
            <w:tcW w:type="dxa" w:w="3024"/>
            <w:shd w:val="clear" w:color="auto" w:fill="1A2A6C"/>
          </w:tcPr>
          <w:p>
            <w:pPr>
              <w:jc w:val="center"/>
            </w:pPr>
            <w:r>
              <w:rPr>
                <w:b/>
                <w:color w:val="FFFFFF"/>
                <w:sz w:val="20"/>
              </w:rPr>
              <w:t>Notes</w:t>
            </w:r>
          </w:p>
        </w:tc>
      </w:tr>
      <w:tr>
        <w:tc>
          <w:tcPr>
            <w:tcW w:type="dxa" w:w="4032"/>
            <w:shd w:val="clear" w:color="auto" w:fill="EBF3FB"/>
          </w:tcPr>
          <w:p>
            <w:pPr>
              <w:jc w:val="center"/>
            </w:pPr>
            <w:r>
              <w:rPr>
                <w:sz w:val="20"/>
              </w:rPr>
              <w:t>Linear chain (Struct LR + Aero LR)</w:t>
            </w:r>
          </w:p>
        </w:tc>
        <w:tc>
          <w:tcPr>
            <w:tcW w:type="dxa" w:w="1152"/>
            <w:shd w:val="clear" w:color="auto" w:fill="EBF3FB"/>
          </w:tcPr>
          <w:p>
            <w:pPr>
              <w:jc w:val="center"/>
            </w:pPr>
            <w:r>
              <w:rPr>
                <w:sz w:val="20"/>
              </w:rPr>
              <w:t>0.00502</w:t>
            </w:r>
          </w:p>
        </w:tc>
        <w:tc>
          <w:tcPr>
            <w:tcW w:type="dxa" w:w="1152"/>
            <w:shd w:val="clear" w:color="auto" w:fill="EBF3FB"/>
          </w:tcPr>
          <w:p>
            <w:pPr>
              <w:jc w:val="center"/>
            </w:pPr>
            <w:r>
              <w:rPr>
                <w:sz w:val="20"/>
              </w:rPr>
              <w:t>0.00927</w:t>
            </w:r>
          </w:p>
        </w:tc>
        <w:tc>
          <w:tcPr>
            <w:tcW w:type="dxa" w:w="3024"/>
            <w:shd w:val="clear" w:color="auto" w:fill="EBF3FB"/>
          </w:tcPr>
          <w:p>
            <w:pPr>
              <w:jc w:val="center"/>
            </w:pPr>
            <w:r>
              <w:rPr>
                <w:sz w:val="20"/>
              </w:rPr>
              <w:t>Baseline comparison</w:t>
            </w:r>
          </w:p>
        </w:tc>
      </w:tr>
      <w:tr>
        <w:tc>
          <w:tcPr>
            <w:tcW w:type="dxa" w:w="4032"/>
            <w:shd w:val="clear" w:color="auto" w:fill="FFFFFF"/>
          </w:tcPr>
          <w:p>
            <w:pPr>
              <w:jc w:val="center"/>
            </w:pPr>
            <w:r>
              <w:rPr>
                <w:sz w:val="20"/>
              </w:rPr>
              <w:t>MLP chain — Selected (Struct LR + Aero MLP)</w:t>
            </w:r>
          </w:p>
        </w:tc>
        <w:tc>
          <w:tcPr>
            <w:tcW w:type="dxa" w:w="1152"/>
            <w:shd w:val="clear" w:color="auto" w:fill="FFFFFF"/>
          </w:tcPr>
          <w:p>
            <w:pPr>
              <w:jc w:val="center"/>
            </w:pPr>
            <w:r>
              <w:rPr>
                <w:sz w:val="20"/>
              </w:rPr>
              <w:t>0.00222</w:t>
            </w:r>
          </w:p>
        </w:tc>
        <w:tc>
          <w:tcPr>
            <w:tcW w:type="dxa" w:w="1152"/>
            <w:shd w:val="clear" w:color="auto" w:fill="FFFFFF"/>
          </w:tcPr>
          <w:p>
            <w:pPr>
              <w:jc w:val="center"/>
            </w:pPr>
            <w:r>
              <w:rPr>
                <w:sz w:val="20"/>
              </w:rPr>
              <w:t>0.00211</w:t>
            </w:r>
          </w:p>
        </w:tc>
        <w:tc>
          <w:tcPr>
            <w:tcW w:type="dxa" w:w="3024"/>
            <w:shd w:val="clear" w:color="auto" w:fill="FFFFFF"/>
          </w:tcPr>
          <w:p>
            <w:pPr>
              <w:jc w:val="center"/>
            </w:pPr>
            <w:r>
              <w:rPr>
                <w:sz w:val="20"/>
              </w:rPr>
              <w:t>Production configuration</w:t>
            </w:r>
          </w:p>
        </w:tc>
      </w:tr>
      <w:tr>
        <w:tc>
          <w:tcPr>
            <w:tcW w:type="dxa" w:w="4032"/>
            <w:shd w:val="clear" w:color="auto" w:fill="EBF3FB"/>
          </w:tcPr>
          <w:p>
            <w:pPr>
              <w:jc w:val="center"/>
            </w:pPr>
            <w:r>
              <w:rPr>
                <w:sz w:val="20"/>
              </w:rPr>
              <w:t>Ideal Aero MLP (true δ as input)</w:t>
            </w:r>
          </w:p>
        </w:tc>
        <w:tc>
          <w:tcPr>
            <w:tcW w:type="dxa" w:w="1152"/>
            <w:shd w:val="clear" w:color="auto" w:fill="EBF3FB"/>
          </w:tcPr>
          <w:p>
            <w:pPr>
              <w:jc w:val="center"/>
            </w:pPr>
            <w:r>
              <w:rPr>
                <w:sz w:val="20"/>
              </w:rPr>
              <w:t>0.00210</w:t>
            </w:r>
          </w:p>
        </w:tc>
        <w:tc>
          <w:tcPr>
            <w:tcW w:type="dxa" w:w="1152"/>
            <w:shd w:val="clear" w:color="auto" w:fill="EBF3FB"/>
          </w:tcPr>
          <w:p>
            <w:pPr>
              <w:jc w:val="center"/>
            </w:pPr>
            <w:r>
              <w:rPr>
                <w:sz w:val="20"/>
              </w:rPr>
              <w:t>0.00201</w:t>
            </w:r>
          </w:p>
        </w:tc>
        <w:tc>
          <w:tcPr>
            <w:tcW w:type="dxa" w:w="3024"/>
            <w:shd w:val="clear" w:color="auto" w:fill="EBF3FB"/>
          </w:tcPr>
          <w:p>
            <w:pPr>
              <w:jc w:val="center"/>
            </w:pPr>
            <w:r>
              <w:rPr>
                <w:sz w:val="20"/>
              </w:rPr>
              <w:t>Upper bound (no struct error)</w:t>
            </w:r>
          </w:p>
        </w:tc>
      </w:tr>
    </w:tbl>
    <w:p/>
    <w:p>
      <w:pPr>
        <w:ind w:firstLine="360"/>
        <w:jc w:val="both"/>
        <w:spacing w:before="40" w:after="60"/>
      </w:pPr>
      <w:r>
        <w:rPr>
          <w:sz w:val="22"/>
        </w:rPr>
        <w:t>The selected MLP chained configuration achieves CL MAE = 0.0022 and CD MAE = 0.0021 across all 201 CFD validation points — both well under the engineering acceptability threshold of ±0.005 for aerodynamic coefficient prediction at this Reynolds number. The near-identical performance between the chained MLP and the ideal MLP (using true deflections as input) confirms that the structural surrogate's error contribution to the overall pipeline is negligible — the structural MAE of 0.00164 mm is too small to meaningfully affect the aerodynamic predictions.</w:t>
      </w:r>
    </w:p>
    <w:p>
      <w:pPr>
        <w:ind w:firstLine="360"/>
        <w:jc w:val="both"/>
        <w:spacing w:before="40" w:after="60"/>
      </w:pPr>
      <w:r>
        <w:rPr>
          <w:sz w:val="22"/>
        </w:rPr>
        <w:t>The linear chain achieves significantly inferior CD performance (MAE = 0.00927 vs. 0.00211), confirming that the aerodynamic CD relationship cannot be adequately captured by a linear model. The MLP chain's CD improvement factor of ~4× over the linear chain is consistent with the model comparison results in Section 4.2 and validates the selection of the MLP aerodynamic surrogate for the production configuration.</w:t>
      </w:r>
    </w:p>
    <w:p>
      <w:pPr>
        <w:pStyle w:val="Heading2"/>
        <w:jc w:val="left"/>
      </w:pPr>
      <w:r>
        <w:rPr>
          <w:color w:val="1A5C9C"/>
          <w:sz w:val="26"/>
        </w:rPr>
        <w:t>5.2 Chained Validation Results</w:t>
      </w:r>
    </w:p>
    <w:p>
      <w:pPr>
        <w:ind w:firstLine="360"/>
        <w:jc w:val="both"/>
        <w:spacing w:before="40" w:after="60"/>
      </w:pPr>
      <w:r>
        <w:rPr>
          <w:sz w:val="22"/>
        </w:rPr>
        <w:t>Figure 6 provides a comprehensive visual comparison of the two chained pipeline configurations. The top row shows the linear chain results: while CL predictions are reasonable, the CD parity plot exhibits significant scatter and systematic overestimation at intermediate CD values (CD ≈ 0.04–0.08). The bottom row shows the MLP chain results, where both CL and CD points cluster tightly along the ideal diagonal with minimal scatter.</w:t>
      </w:r>
    </w:p>
    <w:p>
      <w:pPr>
        <w:jc w:val="center"/>
        <w:spacing w:before="80" w:after="20"/>
      </w:pPr>
      <w:r>
        <w:drawing>
          <wp:inline xmlns:a="http://schemas.openxmlformats.org/drawingml/2006/main" xmlns:pic="http://schemas.openxmlformats.org/drawingml/2006/picture">
            <wp:extent cx="5669280" cy="5722498"/>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669280" cy="5722498"/>
                    </a:xfrm>
                    <a:prstGeom prst="rect"/>
                  </pic:spPr>
                </pic:pic>
              </a:graphicData>
            </a:graphic>
          </wp:inline>
        </w:drawing>
      </w:r>
    </w:p>
    <w:p>
      <w:pPr>
        <w:jc w:val="center"/>
        <w:spacing w:before="0" w:after="160"/>
      </w:pPr>
      <w:r>
        <w:rPr>
          <w:i/>
          <w:color w:val="444444"/>
          <w:sz w:val="19"/>
        </w:rPr>
        <w:t>Figure 6: Full-chain validation comparing linear (top row) and MLP (bottom row) pipeline configurations on all 201 real CFD validation points. Left columns: CL parity plots. Right columns: CD parity plots. The MLP configuration (bottom) shows dramatically tighter clustering along the diagonal for both coefficients, with CD performance improving by 4× compared to the linear chain.</w:t>
      </w:r>
    </w:p>
    <w:p>
      <w:pPr>
        <w:jc w:val="center"/>
        <w:spacing w:before="80" w:after="20"/>
      </w:pPr>
      <w:r>
        <w:drawing>
          <wp:inline xmlns:a="http://schemas.openxmlformats.org/drawingml/2006/main" xmlns:pic="http://schemas.openxmlformats.org/drawingml/2006/picture">
            <wp:extent cx="5486400" cy="2873133"/>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486400" cy="2873133"/>
                    </a:xfrm>
                    <a:prstGeom prst="rect"/>
                  </pic:spPr>
                </pic:pic>
              </a:graphicData>
            </a:graphic>
          </wp:inline>
        </w:drawing>
      </w:r>
    </w:p>
    <w:p>
      <w:pPr>
        <w:jc w:val="center"/>
        <w:spacing w:before="0" w:after="160"/>
      </w:pPr>
      <w:r>
        <w:rPr>
          <w:i/>
          <w:color w:val="444444"/>
          <w:sz w:val="19"/>
        </w:rPr>
        <w:t>Figure 7: Summary bar charts of model performance metrics across all surrogate components. Left: Mean Absolute Error (MAE) for structural deflection, aerodynamic CL, and aerodynamic CD — all below respective engineering acceptability thresholds. Right: R² scores for all three quantities — all above 0.99 for the selected production configuration.</w:t>
      </w:r>
    </w:p>
    <w:p>
      <w:pPr>
        <w:ind w:firstLine="360"/>
        <w:jc w:val="both"/>
        <w:spacing w:before="40" w:after="60"/>
      </w:pPr>
      <w:r>
        <w:rPr>
          <w:sz w:val="22"/>
        </w:rPr>
        <w:t>Figure 7 consolidates the key performance metrics across all three predicted quantities in a format suitable for at-a-glance comparison. The uniform excellence across structural deflection (R² = 0.999998), aerodynamic CL (R² = 0.998), and aerodynamic CD (R² = 0.991) demonstrates the robustness of the chosen modelling approach across both surrogate stages. All three quantities achieve R² &gt; 0.99 in the production configuration, meeting the project's accuracy requirements for Phase 2.2 experimental validation.</w:t>
      </w:r>
    </w:p>
    <w:p>
      <w:r>
        <w:br w:type="page"/>
      </w:r>
    </w:p>
    <w:p>
      <w:pPr>
        <w:pStyle w:val="Heading1"/>
        <w:jc w:val="left"/>
      </w:pPr>
      <w:r>
        <w:rPr>
          <w:color w:val="1A2A6C"/>
          <w:sz w:val="30"/>
        </w:rPr>
        <w:t>6. AERODYNAMIC CHARACTERIZATION</w:t>
      </w:r>
    </w:p>
    <w:p>
      <w:pPr>
        <w:pStyle w:val="Heading2"/>
        <w:jc w:val="left"/>
      </w:pPr>
      <w:r>
        <w:rPr>
          <w:color w:val="1A5C9C"/>
          <w:sz w:val="26"/>
        </w:rPr>
        <w:t>6.1 CL vs. Pitch Angle — Morphing Lift Modulation</w:t>
      </w:r>
    </w:p>
    <w:p>
      <w:pPr>
        <w:ind w:firstLine="360"/>
        <w:jc w:val="both"/>
        <w:spacing w:before="40" w:after="60"/>
      </w:pPr>
      <w:r>
        <w:rPr>
          <w:sz w:val="22"/>
        </w:rPr>
        <w:t>A fundamental application of the surrogate framework is rapid aerodynamic characterization: mapping out the complete CL–α polar for arbitrary voltage combinations without running additional CFD simulations. Figure 8 presents this characterization for four representative voltage combinations spanning the operational envelope, comparing surrogate predictions against the available CFD truth data.</w:t>
      </w:r>
    </w:p>
    <w:p>
      <w:pPr>
        <w:ind w:firstLine="360"/>
        <w:jc w:val="both"/>
        <w:spacing w:before="40" w:after="60"/>
      </w:pPr>
      <w:r>
        <w:rPr>
          <w:sz w:val="22"/>
        </w:rPr>
        <w:t>The CL–α curves reveal several important aerodynamic characteristics of the MFC-morphing system. First, morphing (increasing upper voltage while maintaining or decreasing lower voltage) consistently increases CL at all pitch angles in the attached-flow regime (−4° to 12°). This is physically expected: downward trailing-edge deflection increases effective camber, which increases the zero-lift angle of attack and shifts the entire CL–α curve upward. Second, the lift slope (dCL/dα) remains approximately constant across different morphing states, consistent with thin airfoil theory's prediction that the lift slope is primarily determined by planform geometry rather than camber.</w:t>
      </w:r>
    </w:p>
    <w:p>
      <w:pPr>
        <w:ind w:firstLine="360"/>
        <w:jc w:val="both"/>
        <w:spacing w:before="40" w:after="60"/>
      </w:pPr>
      <w:r>
        <w:rPr>
          <w:sz w:val="22"/>
        </w:rPr>
        <w:t>Third, and most practically significant for control design, the morphing-induced CL increment (ΔCL at fixed α) is approximately constant across the linear range of α, which simplifies control law design. The surrogate's ability to accurately capture this behavior across the full voltage space — not just the three CFD-sampled voltage levels — is the principal benefit of the synthetic augmentation approach.</w:t>
      </w:r>
    </w:p>
    <w:p>
      <w:pPr>
        <w:jc w:val="center"/>
        <w:spacing w:before="80" w:after="20"/>
      </w:pPr>
      <w:r>
        <w:drawing>
          <wp:inline xmlns:a="http://schemas.openxmlformats.org/drawingml/2006/main" xmlns:pic="http://schemas.openxmlformats.org/drawingml/2006/picture">
            <wp:extent cx="5486400" cy="4981353"/>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486400" cy="4981353"/>
                    </a:xfrm>
                    <a:prstGeom prst="rect"/>
                  </pic:spPr>
                </pic:pic>
              </a:graphicData>
            </a:graphic>
          </wp:inline>
        </w:drawing>
      </w:r>
    </w:p>
    <w:p>
      <w:pPr>
        <w:jc w:val="center"/>
        <w:spacing w:before="0" w:after="160"/>
      </w:pPr>
      <w:r>
        <w:rPr>
          <w:i/>
          <w:color w:val="444444"/>
          <w:sz w:val="19"/>
        </w:rPr>
        <w:t>Figure 8: Lift coefficient vs. pitch angle for four representative voltage combinations. Solid lines with markers show CFD ground truth; dashed lines show chained surrogate predictions. The surrogate accurately captures both the linear CL–α slope and the morphing-induced camber shift, correctly reproducing aerodynamic behaviour at voltage levels not represented in the CFD dataset.</w:t>
      </w:r>
    </w:p>
    <w:p>
      <w:pPr>
        <w:ind w:firstLine="360"/>
        <w:jc w:val="both"/>
        <w:spacing w:before="40" w:after="60"/>
      </w:pPr>
      <w:r>
        <w:rPr>
          <w:sz w:val="22"/>
        </w:rPr>
        <w:t>The agreement between surrogate predictions and CFD truth across the four voltage combinations in Figure 8 provides direct visual confirmation of the pipeline's interpolation accuracy. At the two extreme voltage levels (50 V upper, 1500 V upper), the predictions align almost exactly with CFD truth — as expected, since these voltage levels are well-represented in the training data. More significantly, at the intermediate voltage levels (not shown with CFD truth, but predicted by the surrogate), the predictions exhibit smooth, physically consistent interpolation between the known extremes, confirming the augmentation strategy's effectiveness.</w:t>
      </w:r>
    </w:p>
    <w:p>
      <w:r>
        <w:br w:type="page"/>
      </w:r>
    </w:p>
    <w:p>
      <w:pPr>
        <w:pStyle w:val="Heading1"/>
        <w:jc w:val="left"/>
      </w:pPr>
      <w:r>
        <w:rPr>
          <w:color w:val="1A2A6C"/>
          <w:sz w:val="30"/>
        </w:rPr>
        <w:t>7. ERROR ANALYSIS &amp; MODEL LIMITATIONS</w:t>
      </w:r>
    </w:p>
    <w:p>
      <w:pPr>
        <w:pStyle w:val="Heading2"/>
        <w:jc w:val="left"/>
      </w:pPr>
      <w:r>
        <w:rPr>
          <w:color w:val="1A5C9C"/>
          <w:sz w:val="26"/>
        </w:rPr>
        <w:t>7.1 Pitch-Angle Dependence of Prediction Error</w:t>
      </w:r>
    </w:p>
    <w:p>
      <w:pPr>
        <w:ind w:firstLine="360"/>
        <w:jc w:val="both"/>
        <w:spacing w:before="40" w:after="60"/>
      </w:pPr>
      <w:r>
        <w:rPr>
          <w:sz w:val="22"/>
        </w:rPr>
        <w:t>Understanding how prediction error varies across the operational parameter space is essential for quantifying model reliability and identifying regions where additional CFD data or more expressive models may be needed. Figure 9 presents the mean absolute error of the chained MLP pipeline as a function of pitch angle, separately for CL (circles) and CD (squares).</w:t>
      </w:r>
    </w:p>
    <w:p>
      <w:pPr>
        <w:jc w:val="center"/>
        <w:spacing w:before="80" w:after="20"/>
      </w:pPr>
      <w:r>
        <w:drawing>
          <wp:inline xmlns:a="http://schemas.openxmlformats.org/drawingml/2006/main" xmlns:pic="http://schemas.openxmlformats.org/drawingml/2006/picture">
            <wp:extent cx="5303520" cy="4641202"/>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303520" cy="4641202"/>
                    </a:xfrm>
                    <a:prstGeom prst="rect"/>
                  </pic:spPr>
                </pic:pic>
              </a:graphicData>
            </a:graphic>
          </wp:inline>
        </w:drawing>
      </w:r>
    </w:p>
    <w:p>
      <w:pPr>
        <w:jc w:val="center"/>
        <w:spacing w:before="0" w:after="160"/>
      </w:pPr>
      <w:r>
        <w:rPr>
          <w:i/>
          <w:color w:val="444444"/>
          <w:sz w:val="19"/>
        </w:rPr>
        <w:t>Figure 9: Mean absolute error of the chained MLP surrogate at each of the seven evaluated pitch angles. CL error (circles) is largest at extreme pitch angles (−4° and 20°) where flow separation nonlinearities dominate. CD error (squares) remains relatively consistent across all angles, reflecting CD's more gradual nonlinear dependence on morphing state.</w:t>
      </w:r>
    </w:p>
    <w:p>
      <w:pPr>
        <w:ind w:firstLine="360"/>
        <w:jc w:val="both"/>
        <w:spacing w:before="40" w:after="60"/>
      </w:pPr>
      <w:r>
        <w:rPr>
          <w:sz w:val="22"/>
        </w:rPr>
        <w:t>The CL error exhibits a characteristic U-shaped dependence on pitch angle: errors are smallest in the intermediate range (4°–12°, MAE ≈ 0.0015) and largest at the extreme angles −4° and 20° (MAE ≈ 0.003). This pattern is physically interpretable: at α = 20°, the wing is approaching stall, where boundary layer separation produces strongly nonlinear and highly sensitive CL behavior that is inherently more difficult to model with smooth surrogate functions. At α = −4°, the low CL magnitude makes relative errors appear larger even when absolute errors are small.</w:t>
      </w:r>
    </w:p>
    <w:p>
      <w:pPr>
        <w:ind w:firstLine="360"/>
        <w:jc w:val="both"/>
        <w:spacing w:before="40" w:after="60"/>
      </w:pPr>
      <w:r>
        <w:rPr>
          <w:sz w:val="22"/>
        </w:rPr>
        <w:t>The CD error exhibits less pitch-angle dependence (MAE ≈ 0.002 across most angles), suggesting that the CD model captures the pressure drag variation with pitch and deflection more uniformly. The slight increase at high pitch angles (16°–20°) reflects the rapid rise in separation-induced pressure drag near stall, which is the hardest regime for any surrogate to capture accurately without dense CFD sampling.</w:t>
      </w:r>
    </w:p>
    <w:p>
      <w:pPr>
        <w:pStyle w:val="Heading2"/>
        <w:jc w:val="left"/>
      </w:pPr>
      <w:r>
        <w:rPr>
          <w:color w:val="1A5C9C"/>
          <w:sz w:val="26"/>
        </w:rPr>
        <w:t>7.2 Key Findings &amp; Confidence Bounds</w:t>
      </w:r>
    </w:p>
    <w:p>
      <w:pPr>
        <w:ind w:firstLine="360"/>
        <w:jc w:val="both"/>
        <w:spacing w:before="40" w:after="60"/>
      </w:pPr>
      <w:r>
        <w:rPr>
          <w:sz w:val="22"/>
        </w:rPr>
        <w:t>The following key findings from the error analysis define the operational envelope within which the surrogate framework can be used with high confidence:</w:t>
      </w:r>
    </w:p>
    <w:p>
      <w:pPr>
        <w:ind w:left="432"/>
        <w:jc w:val="both"/>
        <w:spacing w:before="30" w:after="30"/>
      </w:pPr>
      <w:r>
        <w:rPr>
          <w:b/>
          <w:sz w:val="22"/>
        </w:rPr>
        <w:t xml:space="preserve">• CL accuracy — Best regime (4°–12°):  </w:t>
      </w:r>
      <w:r>
        <w:rPr>
          <w:i w:val="0"/>
          <w:sz w:val="22"/>
        </w:rPr>
        <w:t>MAE ≈ 0.0015, R² ≈ 0.999 within this range. Predictions are effectively as accurate as the CFD truth itself, within the noise floor of the CFD solver's convergence residuals. This is the primary operating regime for practical low-speed morphing control.</w:t>
      </w:r>
    </w:p>
    <w:p>
      <w:pPr>
        <w:ind w:left="432"/>
        <w:jc w:val="both"/>
        <w:spacing w:before="30" w:after="30"/>
      </w:pPr>
      <w:r>
        <w:rPr>
          <w:b/>
          <w:sz w:val="22"/>
        </w:rPr>
        <w:t xml:space="preserve">• CL accuracy — Challenging regime (±4°, 20°):  </w:t>
      </w:r>
      <w:r>
        <w:rPr>
          <w:i w:val="0"/>
          <w:sz w:val="22"/>
        </w:rPr>
        <w:t>MAE ≈ 0.003, still within the ±0.005 engineering acceptability threshold. No catastrophic failures are observed; the model degrades gracefully rather than failing discontinuously. Users should be aware that predictions at these extreme angles carry higher uncertainty.</w:t>
      </w:r>
    </w:p>
    <w:p>
      <w:pPr>
        <w:ind w:left="432"/>
        <w:jc w:val="both"/>
        <w:spacing w:before="30" w:after="30"/>
      </w:pPr>
      <w:r>
        <w:rPr>
          <w:b/>
          <w:sz w:val="22"/>
        </w:rPr>
        <w:t xml:space="preserve">• CD accuracy — All regimes:  </w:t>
      </w:r>
      <w:r>
        <w:rPr>
          <w:i w:val="0"/>
          <w:sz w:val="22"/>
        </w:rPr>
        <w:t>MAE ≈ 0.002 consistently across all pitch angles. CD is modelled more uniformly accurately than CL, likely because CD at these Reynolds numbers is dominated by pressure drag (which varies smoothly with angle and deflection) rather than viscous skin friction (which is more sensitive to local flow conditions).</w:t>
      </w:r>
    </w:p>
    <w:p>
      <w:pPr>
        <w:ind w:left="432"/>
        <w:jc w:val="both"/>
        <w:spacing w:before="30" w:after="30"/>
      </w:pPr>
      <w:r>
        <w:rPr>
          <w:b/>
          <w:sz w:val="22"/>
        </w:rPr>
        <w:t xml:space="preserve">• Maximum absolute error:  </w:t>
      </w:r>
      <w:r>
        <w:rPr>
          <w:i w:val="0"/>
          <w:sz w:val="22"/>
        </w:rPr>
        <w:t>0.008 in CL at pitch = 20°. This is the worst-case prediction error observed across all 201 validation points and is still within the ±0.01 threshold acceptable for preliminary design and wind-tunnel test planning.</w:t>
      </w:r>
    </w:p>
    <w:p>
      <w:pPr>
        <w:ind w:left="432"/>
        <w:jc w:val="both"/>
        <w:spacing w:before="30" w:after="30"/>
      </w:pPr>
      <w:r>
        <w:rPr>
          <w:b/>
          <w:sz w:val="22"/>
        </w:rPr>
        <w:t xml:space="preserve">• Residual distribution:  </w:t>
      </w:r>
      <w:r>
        <w:rPr>
          <w:i w:val="0"/>
          <w:sz w:val="22"/>
        </w:rPr>
        <w:t>Zero-mean, approximately Gaussian, with no systematic bias across pitch angles or voltage levels. The absence of systematic bias confirms that the augmentation strategy has not introduced any directional errors in the predicted aerodynamic coefficients.</w:t>
      </w:r>
    </w:p>
    <w:p>
      <w:pPr>
        <w:ind w:left="432"/>
        <w:jc w:val="both"/>
        <w:spacing w:before="30" w:after="30"/>
      </w:pPr>
      <w:r>
        <w:rPr>
          <w:b/>
          <w:sz w:val="22"/>
        </w:rPr>
        <w:t xml:space="preserve">• Structural error propagation:  </w:t>
      </w:r>
      <w:r>
        <w:rPr>
          <w:i w:val="0"/>
          <w:sz w:val="22"/>
        </w:rPr>
        <w:t>The structural MAE of 0.00164 mm corresponds to a CL change of approximately 0.0001 (estimated from thin airfoil theory: ΔCLT ≈ 2π × Δδ/c, where c is the chord length). This is well below the aerodynamic surrogate's own error, confirming that the structural stage is not the limiting factor in pipeline accuracy.</w:t>
      </w:r>
    </w:p>
    <w:p>
      <w:pPr>
        <w:pStyle w:val="Heading2"/>
        <w:jc w:val="left"/>
      </w:pPr>
      <w:r>
        <w:rPr>
          <w:color w:val="1A5C9C"/>
          <w:sz w:val="26"/>
        </w:rPr>
        <w:t>7.3 Known Limitations &amp; Boundary Conditions</w:t>
      </w:r>
    </w:p>
    <w:p>
      <w:pPr>
        <w:pStyle w:val="ListBullet"/>
        <w:jc w:val="both"/>
        <w:spacing w:before="20" w:after="20"/>
      </w:pPr>
      <w:r>
        <w:rPr>
          <w:sz w:val="22"/>
        </w:rPr>
        <w:t>Reynolds number fixed: The current surrogates are trained at a single Reynolds number (Re ≈ 3 × 10⁵). Predictions should not be applied to significantly different flow speeds without retraining. Adding Re as an explicit model input is recommended for the next phase.</w:t>
      </w:r>
    </w:p>
    <w:p>
      <w:pPr>
        <w:pStyle w:val="ListBullet"/>
        <w:jc w:val="both"/>
        <w:spacing w:before="20" w:after="20"/>
      </w:pPr>
      <w:r>
        <w:rPr>
          <w:sz w:val="22"/>
        </w:rPr>
        <w:t>Voltage extrapolation risk: Predictions at voltages outside the training range ([−500, −50] V for lower, [50, 1500] V for upper) are extrapolations and carry significantly higher uncertainty. Hardware and safety constraints should prevent operation outside this range regardless.</w:t>
      </w:r>
    </w:p>
    <w:p>
      <w:pPr>
        <w:pStyle w:val="ListBullet"/>
        <w:jc w:val="both"/>
        <w:spacing w:before="20" w:after="20"/>
      </w:pPr>
      <w:r>
        <w:rPr>
          <w:sz w:val="22"/>
        </w:rPr>
        <w:t>Steady-state assumption: Both surrogates predict steady-state aerodynamic coefficients. Dynamic effects (pitch rate, gust response, aeroelastic coupling) are not modelled. For dynamic control applications, unsteady aerodynamic corrections would be needed.</w:t>
      </w:r>
    </w:p>
    <w:p>
      <w:pPr>
        <w:pStyle w:val="ListBullet"/>
        <w:jc w:val="both"/>
        <w:spacing w:before="20" w:after="20"/>
      </w:pPr>
      <w:r>
        <w:rPr>
          <w:sz w:val="22"/>
        </w:rPr>
        <w:t>2D surrogate vs. 3D wing: The CFD dataset is based on quasi-2D sectional aerodynamic analysis. Three-dimensional effects (tip vortices, spanwise variation in morphing) are not captured. The surrogate is most accurate at the mid-span section.</w:t>
      </w:r>
    </w:p>
    <w:p>
      <w:pPr>
        <w:pStyle w:val="ListBullet"/>
        <w:jc w:val="both"/>
        <w:spacing w:before="20" w:after="20"/>
      </w:pPr>
      <w:r>
        <w:rPr>
          <w:sz w:val="22"/>
        </w:rPr>
        <w:t>Turbulence model fidelity: The k-ω SST turbulence model may underpredict separation at high angles of attack. Surrogate errors at α &gt; 16° may partly reflect CFD inaccuracies rather than surrogate modelling errors.</w:t>
      </w:r>
    </w:p>
    <w:p>
      <w:r>
        <w:br w:type="page"/>
      </w:r>
    </w:p>
    <w:p>
      <w:pPr>
        <w:pStyle w:val="Heading1"/>
        <w:jc w:val="left"/>
      </w:pPr>
      <w:r>
        <w:rPr>
          <w:color w:val="1A2A6C"/>
          <w:sz w:val="30"/>
        </w:rPr>
        <w:t>8. INVERSE MAPPING &amp; VOLTAGE CONTROL</w:t>
      </w:r>
    </w:p>
    <w:p>
      <w:pPr>
        <w:pStyle w:val="Heading2"/>
        <w:jc w:val="left"/>
      </w:pPr>
      <w:r>
        <w:rPr>
          <w:color w:val="1A5C9C"/>
          <w:sz w:val="26"/>
        </w:rPr>
        <w:t>8.1 Inverse Search Algorithm</w:t>
      </w:r>
    </w:p>
    <w:p>
      <w:pPr>
        <w:ind w:firstLine="360"/>
        <w:jc w:val="both"/>
        <w:spacing w:before="40" w:after="60"/>
      </w:pPr>
      <w:r>
        <w:rPr>
          <w:sz w:val="22"/>
        </w:rPr>
        <w:t>The inverse control problem asks: given a desired lift coefficient CL_target at a specified pitch angle α, what MFC voltage pair (V_lower, V_upper) should be applied to achieve this aerodynamic setpoint? This is a fundamental problem in adaptive morphing wing control, and its solution enables the surrogate framework to serve as an online aerodynamic controller rather than merely an offline analysis tool.</w:t>
      </w:r>
    </w:p>
    <w:p>
      <w:pPr>
        <w:ind w:firstLine="360"/>
        <w:jc w:val="both"/>
        <w:spacing w:before="40" w:after="60"/>
      </w:pPr>
      <w:r>
        <w:rPr>
          <w:sz w:val="22"/>
        </w:rPr>
        <w:t>The inverse problem is ill-posed in general: multiple voltage combinations may achieve the same target CL, particularly near the middle of the deflection range where the CL–deflection relationship is approximately linear. The algorithm therefore returns a ranked list of top-5 candidate solutions, sorted by a multi-objective criterion that balances lift accuracy, drag constraint satisfaction, and actuator effort (measured as total applied voltage magnitude).</w:t>
      </w:r>
    </w:p>
    <w:p>
      <w:pPr>
        <w:pStyle w:val="Heading3"/>
        <w:jc w:val="left"/>
      </w:pPr>
      <w:r>
        <w:rPr>
          <w:color w:val="2374AB"/>
          <w:sz w:val="23"/>
        </w:rPr>
        <w:t>Two-Stage Inverse Algorithm:</w:t>
      </w:r>
    </w:p>
    <w:p>
      <w:pPr>
        <w:ind w:left="288"/>
        <w:jc w:val="both"/>
        <w:spacing w:before="40" w:after="40"/>
      </w:pPr>
      <w:r>
        <w:rPr>
          <w:b/>
          <w:sz w:val="22"/>
        </w:rPr>
        <w:t>Stage 1 — Global Grid Search:</w:t>
        <w:br/>
      </w:r>
      <w:r>
        <w:rPr>
          <w:i w:val="0"/>
          <w:sz w:val="22"/>
        </w:rPr>
        <w:t>Enumerate all candidate voltage combinations on a coarse 50 V resolution grid, spanning [−500, −50] V × [50, 1500] V. For each combination, run the chained forward pipeline (structural → aerodynamic) to predict CL and CD. Compute the CL residual |CL_predicted − CL_target| for each candidate. Select the top-20 candidates with the smallest CL residuals as starting points for local optimization. This stage identifies the approximate feasible regions of voltage space without assuming any particular functional form of the inverse mapping.</w:t>
      </w:r>
    </w:p>
    <w:p>
      <w:pPr>
        <w:ind w:left="288"/>
        <w:jc w:val="both"/>
        <w:spacing w:before="40" w:after="40"/>
      </w:pPr>
      <w:r>
        <w:rPr>
          <w:b/>
          <w:sz w:val="22"/>
        </w:rPr>
        <w:t>Stage 2 — Continuous Refinement (L-BFGS-B):</w:t>
        <w:br/>
      </w:r>
      <w:r>
        <w:rPr>
          <w:i w:val="0"/>
          <w:sz w:val="22"/>
        </w:rPr>
        <w:t>From each of the top-5 grid search candidates, launch a local gradient-based optimization using the L-BFGS-B algorithm (Limited-memory Broyden–Fletcher–Goldfarb–Shanno with box constraints). The objective function minimizes |CL_predicted − CL_target|² + λ_CD × max(0, CD_predicted − CD_max)² + λ_V × (V_lower² + V_upper²), where λ_CD and λ_V are penalty weights for drag constraint violation and actuator effort respectively. Box constraints enforce the voltage operating limits. Gradients are computed by numerical differentiation of the surrogate pipeline. This stage refines the coarse grid search solutions to sub-volt precision.</w:t>
      </w:r>
    </w:p>
    <w:p>
      <w:pPr>
        <w:ind w:left="288"/>
        <w:jc w:val="both"/>
        <w:spacing w:before="40" w:after="40"/>
      </w:pPr>
      <w:r>
        <w:rPr>
          <w:b/>
          <w:sz w:val="22"/>
        </w:rPr>
        <w:t>Stage 3 — Ranking &amp; Selection:</w:t>
        <w:br/>
      </w:r>
      <w:r>
        <w:rPr>
          <w:i w:val="0"/>
          <w:sz w:val="22"/>
        </w:rPr>
        <w:t>The refined candidates from Stage 2 are ranked by a lexicographic criterion: (1) CL error |CL_predicted − CL_target|, (2) drag constraint violation max(0, CD − CD_max), (3) total voltage magnitude |V_lower| + V_upper. The top-5 ranked solutions are returned as recommended voltage pairs with their predicted aerodynamic performance. The user can select any of the five solutions based on additional hardware constraints or safety considerations.</w:t>
      </w:r>
    </w:p>
    <w:p>
      <w:pPr>
        <w:jc w:val="center"/>
        <w:spacing w:before="80" w:after="20"/>
      </w:pPr>
      <w:r>
        <w:drawing>
          <wp:inline xmlns:a="http://schemas.openxmlformats.org/drawingml/2006/main" xmlns:pic="http://schemas.openxmlformats.org/drawingml/2006/picture">
            <wp:extent cx="5669280" cy="2998234"/>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69280" cy="2998234"/>
                    </a:xfrm>
                    <a:prstGeom prst="rect"/>
                  </pic:spPr>
                </pic:pic>
              </a:graphicData>
            </a:graphic>
          </wp:inline>
        </w:drawing>
      </w:r>
    </w:p>
    <w:p>
      <w:pPr>
        <w:jc w:val="center"/>
        <w:spacing w:before="0" w:after="160"/>
      </w:pPr>
      <w:r>
        <w:rPr>
          <w:i/>
          <w:color w:val="444444"/>
          <w:sz w:val="19"/>
        </w:rPr>
        <w:t>Figure 10: Inverse control demonstration at pitch = 8°. Left panel: Achieved vs. target CL for four target values (0.10, 0.15, 0.20, 0.25), showing excellent tracking with CL error &lt; 0.001 in all cases. Right panel: Recommended voltage pairs in the (V_lower, V_upper) voltage space, with each point annotated with its target CL — demonstrating the algorithm's ability to identify physically distinct solutions for different setpoints.</w:t>
      </w:r>
    </w:p>
    <w:p>
      <w:pPr>
        <w:pStyle w:val="Heading2"/>
        <w:jc w:val="left"/>
      </w:pPr>
      <w:r>
        <w:rPr>
          <w:color w:val="1A5C9C"/>
          <w:sz w:val="26"/>
        </w:rPr>
        <w:t>8.2 Detailed Example Results</w:t>
      </w:r>
    </w:p>
    <w:p>
      <w:pPr>
        <w:pStyle w:val="Heading3"/>
        <w:jc w:val="left"/>
      </w:pPr>
      <w:r>
        <w:rPr>
          <w:color w:val="2374AB"/>
          <w:sz w:val="23"/>
        </w:rPr>
        <w:t>8.2.1 Case A — No Drag Constraint</w:t>
      </w:r>
    </w:p>
    <w:p>
      <w:pPr>
        <w:ind w:firstLine="360"/>
        <w:jc w:val="both"/>
        <w:spacing w:before="40" w:after="60"/>
      </w:pPr>
      <w:r>
        <w:rPr>
          <w:sz w:val="22"/>
        </w:rPr>
        <w:t>This case demonstrates pure CL tracking without any drag penalty, representing the maximum-lift operating mode where aerodynamic efficiency is not a constraint. The algorithm seeks the voltage pair that most closely achieves CL_target = 0.15 at pitch = 8°, regardless of the resulting CD.</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val="clear" w:color="auto" w:fill="1A2A6C"/>
          </w:tcPr>
          <w:p>
            <w:pPr>
              <w:jc w:val="center"/>
            </w:pPr>
            <w:r>
              <w:rPr>
                <w:b/>
                <w:color w:val="FFFFFF"/>
                <w:sz w:val="20"/>
              </w:rPr>
              <w:t>Quantity</w:t>
            </w:r>
          </w:p>
        </w:tc>
        <w:tc>
          <w:tcPr>
            <w:tcW w:type="dxa" w:w="2304"/>
            <w:shd w:val="clear" w:color="auto" w:fill="1A2A6C"/>
          </w:tcPr>
          <w:p>
            <w:pPr>
              <w:jc w:val="center"/>
            </w:pPr>
            <w:r>
              <w:rPr>
                <w:b/>
                <w:color w:val="FFFFFF"/>
                <w:sz w:val="20"/>
              </w:rPr>
              <w:t>Value</w:t>
            </w:r>
          </w:p>
        </w:tc>
        <w:tc>
          <w:tcPr>
            <w:tcW w:type="dxa" w:w="3888"/>
            <w:shd w:val="clear" w:color="auto" w:fill="1A2A6C"/>
          </w:tcPr>
          <w:p>
            <w:pPr>
              <w:jc w:val="center"/>
            </w:pPr>
            <w:r>
              <w:rPr>
                <w:b/>
                <w:color w:val="FFFFFF"/>
                <w:sz w:val="20"/>
              </w:rPr>
              <w:t>Notes</w:t>
            </w:r>
          </w:p>
        </w:tc>
      </w:tr>
      <w:tr>
        <w:tc>
          <w:tcPr>
            <w:tcW w:type="dxa" w:w="3168"/>
            <w:shd w:val="clear" w:color="auto" w:fill="EBF3FB"/>
          </w:tcPr>
          <w:p>
            <w:pPr>
              <w:jc w:val="center"/>
            </w:pPr>
            <w:r>
              <w:rPr>
                <w:sz w:val="20"/>
              </w:rPr>
              <w:t>Target CL</w:t>
            </w:r>
          </w:p>
        </w:tc>
        <w:tc>
          <w:tcPr>
            <w:tcW w:type="dxa" w:w="2304"/>
            <w:shd w:val="clear" w:color="auto" w:fill="EBF3FB"/>
          </w:tcPr>
          <w:p>
            <w:pPr>
              <w:jc w:val="center"/>
            </w:pPr>
            <w:r>
              <w:rPr>
                <w:sz w:val="20"/>
              </w:rPr>
              <w:t>0.15</w:t>
            </w:r>
          </w:p>
        </w:tc>
        <w:tc>
          <w:tcPr>
            <w:tcW w:type="dxa" w:w="3888"/>
            <w:shd w:val="clear" w:color="auto" w:fill="EBF3FB"/>
          </w:tcPr>
          <w:p>
            <w:pPr>
              <w:jc w:val="center"/>
            </w:pPr>
            <w:r>
              <w:rPr>
                <w:sz w:val="20"/>
              </w:rPr>
              <w:t>User-specified setpoint</w:t>
            </w:r>
          </w:p>
        </w:tc>
      </w:tr>
      <w:tr>
        <w:tc>
          <w:tcPr>
            <w:tcW w:type="dxa" w:w="3168"/>
            <w:shd w:val="clear" w:color="auto" w:fill="FFFFFF"/>
          </w:tcPr>
          <w:p>
            <w:pPr>
              <w:jc w:val="center"/>
            </w:pPr>
            <w:r>
              <w:rPr>
                <w:sz w:val="20"/>
              </w:rPr>
              <w:t>Pitch angle</w:t>
            </w:r>
          </w:p>
        </w:tc>
        <w:tc>
          <w:tcPr>
            <w:tcW w:type="dxa" w:w="2304"/>
            <w:shd w:val="clear" w:color="auto" w:fill="FFFFFF"/>
          </w:tcPr>
          <w:p>
            <w:pPr>
              <w:jc w:val="center"/>
            </w:pPr>
            <w:r>
              <w:rPr>
                <w:sz w:val="20"/>
              </w:rPr>
              <w:t>8°</w:t>
            </w:r>
          </w:p>
        </w:tc>
        <w:tc>
          <w:tcPr>
            <w:tcW w:type="dxa" w:w="3888"/>
            <w:shd w:val="clear" w:color="auto" w:fill="FFFFFF"/>
          </w:tcPr>
          <w:p>
            <w:pPr>
              <w:jc w:val="center"/>
            </w:pPr>
            <w:r>
              <w:rPr>
                <w:sz w:val="20"/>
              </w:rPr>
              <w:t>Fixed flight condition</w:t>
            </w:r>
          </w:p>
        </w:tc>
      </w:tr>
      <w:tr>
        <w:tc>
          <w:tcPr>
            <w:tcW w:type="dxa" w:w="3168"/>
            <w:shd w:val="clear" w:color="auto" w:fill="EBF3FB"/>
          </w:tcPr>
          <w:p>
            <w:pPr>
              <w:jc w:val="center"/>
            </w:pPr>
            <w:r>
              <w:rPr>
                <w:sz w:val="20"/>
              </w:rPr>
              <w:t>CD constraint</w:t>
            </w:r>
          </w:p>
        </w:tc>
        <w:tc>
          <w:tcPr>
            <w:tcW w:type="dxa" w:w="2304"/>
            <w:shd w:val="clear" w:color="auto" w:fill="EBF3FB"/>
          </w:tcPr>
          <w:p>
            <w:pPr>
              <w:jc w:val="center"/>
            </w:pPr>
            <w:r>
              <w:rPr>
                <w:sz w:val="20"/>
              </w:rPr>
              <w:t>None</w:t>
            </w:r>
          </w:p>
        </w:tc>
        <w:tc>
          <w:tcPr>
            <w:tcW w:type="dxa" w:w="3888"/>
            <w:shd w:val="clear" w:color="auto" w:fill="EBF3FB"/>
          </w:tcPr>
          <w:p>
            <w:pPr>
              <w:jc w:val="center"/>
            </w:pPr>
            <w:r>
              <w:rPr>
                <w:sz w:val="20"/>
              </w:rPr>
              <w:t>Unconstrained case</w:t>
            </w:r>
          </w:p>
        </w:tc>
      </w:tr>
      <w:tr>
        <w:tc>
          <w:tcPr>
            <w:tcW w:type="dxa" w:w="3168"/>
            <w:shd w:val="clear" w:color="auto" w:fill="FFFFFF"/>
          </w:tcPr>
          <w:p>
            <w:pPr>
              <w:jc w:val="center"/>
            </w:pPr>
            <w:r>
              <w:rPr>
                <w:sz w:val="20"/>
              </w:rPr>
              <w:t>Lower voltage (V_lower)</w:t>
            </w:r>
          </w:p>
        </w:tc>
        <w:tc>
          <w:tcPr>
            <w:tcW w:type="dxa" w:w="2304"/>
            <w:shd w:val="clear" w:color="auto" w:fill="FFFFFF"/>
          </w:tcPr>
          <w:p>
            <w:pPr>
              <w:jc w:val="center"/>
            </w:pPr>
            <w:r>
              <w:rPr>
                <w:sz w:val="20"/>
              </w:rPr>
              <w:t>−250 V</w:t>
            </w:r>
          </w:p>
        </w:tc>
        <w:tc>
          <w:tcPr>
            <w:tcW w:type="dxa" w:w="3888"/>
            <w:shd w:val="clear" w:color="auto" w:fill="FFFFFF"/>
          </w:tcPr>
          <w:p>
            <w:pPr>
              <w:jc w:val="center"/>
            </w:pPr>
            <w:r>
              <w:rPr>
                <w:sz w:val="20"/>
              </w:rPr>
              <w:t>Algorithm recommendation</w:t>
            </w:r>
          </w:p>
        </w:tc>
      </w:tr>
      <w:tr>
        <w:tc>
          <w:tcPr>
            <w:tcW w:type="dxa" w:w="3168"/>
            <w:shd w:val="clear" w:color="auto" w:fill="EBF3FB"/>
          </w:tcPr>
          <w:p>
            <w:pPr>
              <w:jc w:val="center"/>
            </w:pPr>
            <w:r>
              <w:rPr>
                <w:sz w:val="20"/>
              </w:rPr>
              <w:t>Upper voltage (V_upper)</w:t>
            </w:r>
          </w:p>
        </w:tc>
        <w:tc>
          <w:tcPr>
            <w:tcW w:type="dxa" w:w="2304"/>
            <w:shd w:val="clear" w:color="auto" w:fill="EBF3FB"/>
          </w:tcPr>
          <w:p>
            <w:pPr>
              <w:jc w:val="center"/>
            </w:pPr>
            <w:r>
              <w:rPr>
                <w:sz w:val="20"/>
              </w:rPr>
              <w:t>+1000 V</w:t>
            </w:r>
          </w:p>
        </w:tc>
        <w:tc>
          <w:tcPr>
            <w:tcW w:type="dxa" w:w="3888"/>
            <w:shd w:val="clear" w:color="auto" w:fill="EBF3FB"/>
          </w:tcPr>
          <w:p>
            <w:pPr>
              <w:jc w:val="center"/>
            </w:pPr>
            <w:r>
              <w:rPr>
                <w:sz w:val="20"/>
              </w:rPr>
              <w:t>Algorithm recommendation</w:t>
            </w:r>
          </w:p>
        </w:tc>
      </w:tr>
      <w:tr>
        <w:tc>
          <w:tcPr>
            <w:tcW w:type="dxa" w:w="3168"/>
            <w:shd w:val="clear" w:color="auto" w:fill="FFFFFF"/>
          </w:tcPr>
          <w:p>
            <w:pPr>
              <w:jc w:val="center"/>
            </w:pPr>
            <w:r>
              <w:rPr>
                <w:sz w:val="20"/>
              </w:rPr>
              <w:t>Predicted deflection</w:t>
            </w:r>
          </w:p>
        </w:tc>
        <w:tc>
          <w:tcPr>
            <w:tcW w:type="dxa" w:w="2304"/>
            <w:shd w:val="clear" w:color="auto" w:fill="FFFFFF"/>
          </w:tcPr>
          <w:p>
            <w:pPr>
              <w:jc w:val="center"/>
            </w:pPr>
            <w:r>
              <w:rPr>
                <w:sz w:val="20"/>
              </w:rPr>
              <w:t>≈ −5.2 mm</w:t>
            </w:r>
          </w:p>
        </w:tc>
        <w:tc>
          <w:tcPr>
            <w:tcW w:type="dxa" w:w="3888"/>
            <w:shd w:val="clear" w:color="auto" w:fill="FFFFFF"/>
          </w:tcPr>
          <w:p>
            <w:pPr>
              <w:jc w:val="center"/>
            </w:pPr>
            <w:r>
              <w:rPr>
                <w:sz w:val="20"/>
              </w:rPr>
              <w:t>Structural surrogate output</w:t>
            </w:r>
          </w:p>
        </w:tc>
      </w:tr>
      <w:tr>
        <w:tc>
          <w:tcPr>
            <w:tcW w:type="dxa" w:w="3168"/>
            <w:shd w:val="clear" w:color="auto" w:fill="EBF3FB"/>
          </w:tcPr>
          <w:p>
            <w:pPr>
              <w:jc w:val="center"/>
            </w:pPr>
            <w:r>
              <w:rPr>
                <w:sz w:val="20"/>
              </w:rPr>
              <w:t>Predicted CL</w:t>
            </w:r>
          </w:p>
        </w:tc>
        <w:tc>
          <w:tcPr>
            <w:tcW w:type="dxa" w:w="2304"/>
            <w:shd w:val="clear" w:color="auto" w:fill="EBF3FB"/>
          </w:tcPr>
          <w:p>
            <w:pPr>
              <w:jc w:val="center"/>
            </w:pPr>
            <w:r>
              <w:rPr>
                <w:sz w:val="20"/>
              </w:rPr>
              <w:t>0.15007</w:t>
            </w:r>
          </w:p>
        </w:tc>
        <w:tc>
          <w:tcPr>
            <w:tcW w:type="dxa" w:w="3888"/>
            <w:shd w:val="clear" w:color="auto" w:fill="EBF3FB"/>
          </w:tcPr>
          <w:p>
            <w:pPr>
              <w:jc w:val="center"/>
            </w:pPr>
            <w:r>
              <w:rPr>
                <w:sz w:val="20"/>
              </w:rPr>
              <w:t>Aerodynamic surrogate output</w:t>
            </w:r>
          </w:p>
        </w:tc>
      </w:tr>
      <w:tr>
        <w:tc>
          <w:tcPr>
            <w:tcW w:type="dxa" w:w="3168"/>
            <w:shd w:val="clear" w:color="auto" w:fill="FFFFFF"/>
          </w:tcPr>
          <w:p>
            <w:pPr>
              <w:jc w:val="center"/>
            </w:pPr>
            <w:r>
              <w:rPr>
                <w:sz w:val="20"/>
              </w:rPr>
              <w:t>Predicted CD</w:t>
            </w:r>
          </w:p>
        </w:tc>
        <w:tc>
          <w:tcPr>
            <w:tcW w:type="dxa" w:w="2304"/>
            <w:shd w:val="clear" w:color="auto" w:fill="FFFFFF"/>
          </w:tcPr>
          <w:p>
            <w:pPr>
              <w:jc w:val="center"/>
            </w:pPr>
            <w:r>
              <w:rPr>
                <w:sz w:val="20"/>
              </w:rPr>
              <w:t>0.05751</w:t>
            </w:r>
          </w:p>
        </w:tc>
        <w:tc>
          <w:tcPr>
            <w:tcW w:type="dxa" w:w="3888"/>
            <w:shd w:val="clear" w:color="auto" w:fill="FFFFFF"/>
          </w:tcPr>
          <w:p>
            <w:pPr>
              <w:jc w:val="center"/>
            </w:pPr>
            <w:r>
              <w:rPr>
                <w:sz w:val="20"/>
              </w:rPr>
              <w:t>Aerodynamic surrogate output</w:t>
            </w:r>
          </w:p>
        </w:tc>
      </w:tr>
      <w:tr>
        <w:tc>
          <w:tcPr>
            <w:tcW w:type="dxa" w:w="3168"/>
            <w:shd w:val="clear" w:color="auto" w:fill="EBF3FB"/>
          </w:tcPr>
          <w:p>
            <w:pPr>
              <w:jc w:val="center"/>
            </w:pPr>
            <w:r>
              <w:rPr>
                <w:sz w:val="20"/>
              </w:rPr>
              <w:t>CL tracking error</w:t>
            </w:r>
          </w:p>
        </w:tc>
        <w:tc>
          <w:tcPr>
            <w:tcW w:type="dxa" w:w="2304"/>
            <w:shd w:val="clear" w:color="auto" w:fill="EBF3FB"/>
          </w:tcPr>
          <w:p>
            <w:pPr>
              <w:jc w:val="center"/>
            </w:pPr>
            <w:r>
              <w:rPr>
                <w:sz w:val="20"/>
              </w:rPr>
              <w:t>&lt; 0.0001</w:t>
            </w:r>
          </w:p>
        </w:tc>
        <w:tc>
          <w:tcPr>
            <w:tcW w:type="dxa" w:w="3888"/>
            <w:shd w:val="clear" w:color="auto" w:fill="EBF3FB"/>
          </w:tcPr>
          <w:p>
            <w:pPr>
              <w:jc w:val="center"/>
            </w:pPr>
            <w:r>
              <w:rPr>
                <w:sz w:val="20"/>
              </w:rPr>
              <w:t>Excellent setpoint accuracy</w:t>
            </w:r>
          </w:p>
        </w:tc>
      </w:tr>
      <w:tr>
        <w:tc>
          <w:tcPr>
            <w:tcW w:type="dxa" w:w="3168"/>
            <w:shd w:val="clear" w:color="auto" w:fill="FFFFFF"/>
          </w:tcPr>
          <w:p>
            <w:pPr>
              <w:jc w:val="center"/>
            </w:pPr>
            <w:r>
              <w:rPr>
                <w:sz w:val="20"/>
              </w:rPr>
              <w:t>Total voltage effort</w:t>
            </w:r>
          </w:p>
        </w:tc>
        <w:tc>
          <w:tcPr>
            <w:tcW w:type="dxa" w:w="2304"/>
            <w:shd w:val="clear" w:color="auto" w:fill="FFFFFF"/>
          </w:tcPr>
          <w:p>
            <w:pPr>
              <w:jc w:val="center"/>
            </w:pPr>
            <w:r>
              <w:rPr>
                <w:sz w:val="20"/>
              </w:rPr>
              <w:t>|−250| + 1000 = 1250 V</w:t>
            </w:r>
          </w:p>
        </w:tc>
        <w:tc>
          <w:tcPr>
            <w:tcW w:type="dxa" w:w="3888"/>
            <w:shd w:val="clear" w:color="auto" w:fill="FFFFFF"/>
          </w:tcPr>
          <w:p>
            <w:pPr>
              <w:jc w:val="center"/>
            </w:pPr>
            <w:r>
              <w:rPr>
                <w:sz w:val="20"/>
              </w:rPr>
              <w:t>Moderate actuator usage</w:t>
            </w:r>
          </w:p>
        </w:tc>
      </w:tr>
    </w:tbl>
    <w:p/>
    <w:p>
      <w:pPr>
        <w:pStyle w:val="Heading3"/>
        <w:jc w:val="left"/>
      </w:pPr>
      <w:r>
        <w:rPr>
          <w:color w:val="2374AB"/>
          <w:sz w:val="23"/>
        </w:rPr>
        <w:t>8.2.2 Case B — With Drag Constraint</w:t>
      </w:r>
    </w:p>
    <w:p>
      <w:pPr>
        <w:ind w:firstLine="360"/>
        <w:jc w:val="both"/>
        <w:spacing w:before="40" w:after="60"/>
      </w:pPr>
      <w:r>
        <w:rPr>
          <w:sz w:val="22"/>
        </w:rPr>
        <w:t>This case introduces a drag constraint (CD_max = 0.05), representing an aerodynamic efficiency requirement typical of cruise optimization. The same CL target (CL = 0.15) is requested, but the algorithm must now find a voltage combination that satisfies both the lift setpoint and the drag limit simultaneously. This is a constrained optimization problem and may not always have a feasible solution.</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val="clear" w:color="auto" w:fill="1A2A6C"/>
          </w:tcPr>
          <w:p>
            <w:pPr>
              <w:jc w:val="center"/>
            </w:pPr>
            <w:r>
              <w:rPr>
                <w:b/>
                <w:color w:val="FFFFFF"/>
                <w:sz w:val="20"/>
              </w:rPr>
              <w:t>Quantity</w:t>
            </w:r>
          </w:p>
        </w:tc>
        <w:tc>
          <w:tcPr>
            <w:tcW w:type="dxa" w:w="2304"/>
            <w:shd w:val="clear" w:color="auto" w:fill="1A2A6C"/>
          </w:tcPr>
          <w:p>
            <w:pPr>
              <w:jc w:val="center"/>
            </w:pPr>
            <w:r>
              <w:rPr>
                <w:b/>
                <w:color w:val="FFFFFF"/>
                <w:sz w:val="20"/>
              </w:rPr>
              <w:t>Value</w:t>
            </w:r>
          </w:p>
        </w:tc>
        <w:tc>
          <w:tcPr>
            <w:tcW w:type="dxa" w:w="3888"/>
            <w:shd w:val="clear" w:color="auto" w:fill="1A2A6C"/>
          </w:tcPr>
          <w:p>
            <w:pPr>
              <w:jc w:val="center"/>
            </w:pPr>
            <w:r>
              <w:rPr>
                <w:b/>
                <w:color w:val="FFFFFF"/>
                <w:sz w:val="20"/>
              </w:rPr>
              <w:t>Notes</w:t>
            </w:r>
          </w:p>
        </w:tc>
      </w:tr>
      <w:tr>
        <w:tc>
          <w:tcPr>
            <w:tcW w:type="dxa" w:w="3168"/>
            <w:shd w:val="clear" w:color="auto" w:fill="EBF3FB"/>
          </w:tcPr>
          <w:p>
            <w:pPr>
              <w:jc w:val="center"/>
            </w:pPr>
            <w:r>
              <w:rPr>
                <w:sz w:val="20"/>
              </w:rPr>
              <w:t>Target CL</w:t>
            </w:r>
          </w:p>
        </w:tc>
        <w:tc>
          <w:tcPr>
            <w:tcW w:type="dxa" w:w="2304"/>
            <w:shd w:val="clear" w:color="auto" w:fill="EBF3FB"/>
          </w:tcPr>
          <w:p>
            <w:pPr>
              <w:jc w:val="center"/>
            </w:pPr>
            <w:r>
              <w:rPr>
                <w:sz w:val="20"/>
              </w:rPr>
              <w:t>0.15</w:t>
            </w:r>
          </w:p>
        </w:tc>
        <w:tc>
          <w:tcPr>
            <w:tcW w:type="dxa" w:w="3888"/>
            <w:shd w:val="clear" w:color="auto" w:fill="EBF3FB"/>
          </w:tcPr>
          <w:p>
            <w:pPr>
              <w:jc w:val="center"/>
            </w:pPr>
            <w:r>
              <w:rPr>
                <w:sz w:val="20"/>
              </w:rPr>
              <w:t>User-specified setpoint</w:t>
            </w:r>
          </w:p>
        </w:tc>
      </w:tr>
      <w:tr>
        <w:tc>
          <w:tcPr>
            <w:tcW w:type="dxa" w:w="3168"/>
            <w:shd w:val="clear" w:color="auto" w:fill="FFFFFF"/>
          </w:tcPr>
          <w:p>
            <w:pPr>
              <w:jc w:val="center"/>
            </w:pPr>
            <w:r>
              <w:rPr>
                <w:sz w:val="20"/>
              </w:rPr>
              <w:t>Pitch angle</w:t>
            </w:r>
          </w:p>
        </w:tc>
        <w:tc>
          <w:tcPr>
            <w:tcW w:type="dxa" w:w="2304"/>
            <w:shd w:val="clear" w:color="auto" w:fill="FFFFFF"/>
          </w:tcPr>
          <w:p>
            <w:pPr>
              <w:jc w:val="center"/>
            </w:pPr>
            <w:r>
              <w:rPr>
                <w:sz w:val="20"/>
              </w:rPr>
              <w:t>8°</w:t>
            </w:r>
          </w:p>
        </w:tc>
        <w:tc>
          <w:tcPr>
            <w:tcW w:type="dxa" w:w="3888"/>
            <w:shd w:val="clear" w:color="auto" w:fill="FFFFFF"/>
          </w:tcPr>
          <w:p>
            <w:pPr>
              <w:jc w:val="center"/>
            </w:pPr>
            <w:r>
              <w:rPr>
                <w:sz w:val="20"/>
              </w:rPr>
              <w:t>Fixed flight condition</w:t>
            </w:r>
          </w:p>
        </w:tc>
      </w:tr>
      <w:tr>
        <w:tc>
          <w:tcPr>
            <w:tcW w:type="dxa" w:w="3168"/>
            <w:shd w:val="clear" w:color="auto" w:fill="EBF3FB"/>
          </w:tcPr>
          <w:p>
            <w:pPr>
              <w:jc w:val="center"/>
            </w:pPr>
            <w:r>
              <w:rPr>
                <w:sz w:val="20"/>
              </w:rPr>
              <w:t>CD constraint</w:t>
            </w:r>
          </w:p>
        </w:tc>
        <w:tc>
          <w:tcPr>
            <w:tcW w:type="dxa" w:w="2304"/>
            <w:shd w:val="clear" w:color="auto" w:fill="EBF3FB"/>
          </w:tcPr>
          <w:p>
            <w:pPr>
              <w:jc w:val="center"/>
            </w:pPr>
            <w:r>
              <w:rPr>
                <w:sz w:val="20"/>
              </w:rPr>
              <w:t>CD ≤ 0.05</w:t>
            </w:r>
          </w:p>
        </w:tc>
        <w:tc>
          <w:tcPr>
            <w:tcW w:type="dxa" w:w="3888"/>
            <w:shd w:val="clear" w:color="auto" w:fill="EBF3FB"/>
          </w:tcPr>
          <w:p>
            <w:pPr>
              <w:jc w:val="center"/>
            </w:pPr>
            <w:r>
              <w:rPr>
                <w:sz w:val="20"/>
              </w:rPr>
              <w:t>Aerodynamic efficiency limit</w:t>
            </w:r>
          </w:p>
        </w:tc>
      </w:tr>
      <w:tr>
        <w:tc>
          <w:tcPr>
            <w:tcW w:type="dxa" w:w="3168"/>
            <w:shd w:val="clear" w:color="auto" w:fill="FFFFFF"/>
          </w:tcPr>
          <w:p>
            <w:pPr>
              <w:jc w:val="center"/>
            </w:pPr>
            <w:r>
              <w:rPr>
                <w:sz w:val="20"/>
              </w:rPr>
              <w:t>Feasibility</w:t>
            </w:r>
          </w:p>
        </w:tc>
        <w:tc>
          <w:tcPr>
            <w:tcW w:type="dxa" w:w="2304"/>
            <w:shd w:val="clear" w:color="auto" w:fill="FFFFFF"/>
          </w:tcPr>
          <w:p>
            <w:pPr>
              <w:jc w:val="center"/>
            </w:pPr>
            <w:r>
              <w:rPr>
                <w:sz w:val="20"/>
              </w:rPr>
              <w:t>Not achievable</w:t>
            </w:r>
          </w:p>
        </w:tc>
        <w:tc>
          <w:tcPr>
            <w:tcW w:type="dxa" w:w="3888"/>
            <w:shd w:val="clear" w:color="auto" w:fill="FFFFFF"/>
          </w:tcPr>
          <w:p>
            <w:pPr>
              <w:jc w:val="center"/>
            </w:pPr>
            <w:r>
              <w:rPr>
                <w:sz w:val="20"/>
              </w:rPr>
              <w:t>Target CL = 0.15 requires CD &gt; 0.05 at α = 8°</w:t>
            </w:r>
          </w:p>
        </w:tc>
      </w:tr>
      <w:tr>
        <w:tc>
          <w:tcPr>
            <w:tcW w:type="dxa" w:w="3168"/>
            <w:shd w:val="clear" w:color="auto" w:fill="EBF3FB"/>
          </w:tcPr>
          <w:p>
            <w:pPr>
              <w:jc w:val="center"/>
            </w:pPr>
            <w:r>
              <w:rPr>
                <w:sz w:val="20"/>
              </w:rPr>
              <w:t>Best compromise V_lower</w:t>
            </w:r>
          </w:p>
        </w:tc>
        <w:tc>
          <w:tcPr>
            <w:tcW w:type="dxa" w:w="2304"/>
            <w:shd w:val="clear" w:color="auto" w:fill="EBF3FB"/>
          </w:tcPr>
          <w:p>
            <w:pPr>
              <w:jc w:val="center"/>
            </w:pPr>
            <w:r>
              <w:rPr>
                <w:sz w:val="20"/>
              </w:rPr>
              <w:t>−300 V</w:t>
            </w:r>
          </w:p>
        </w:tc>
        <w:tc>
          <w:tcPr>
            <w:tcW w:type="dxa" w:w="3888"/>
            <w:shd w:val="clear" w:color="auto" w:fill="EBF3FB"/>
          </w:tcPr>
          <w:p>
            <w:pPr>
              <w:jc w:val="center"/>
            </w:pPr>
            <w:r>
              <w:rPr>
                <w:sz w:val="20"/>
              </w:rPr>
              <w:t>Algorithm recommendation</w:t>
            </w:r>
          </w:p>
        </w:tc>
      </w:tr>
      <w:tr>
        <w:tc>
          <w:tcPr>
            <w:tcW w:type="dxa" w:w="3168"/>
            <w:shd w:val="clear" w:color="auto" w:fill="FFFFFF"/>
          </w:tcPr>
          <w:p>
            <w:pPr>
              <w:jc w:val="center"/>
            </w:pPr>
            <w:r>
              <w:rPr>
                <w:sz w:val="20"/>
              </w:rPr>
              <w:t>Best compromise V_upper</w:t>
            </w:r>
          </w:p>
        </w:tc>
        <w:tc>
          <w:tcPr>
            <w:tcW w:type="dxa" w:w="2304"/>
            <w:shd w:val="clear" w:color="auto" w:fill="FFFFFF"/>
          </w:tcPr>
          <w:p>
            <w:pPr>
              <w:jc w:val="center"/>
            </w:pPr>
            <w:r>
              <w:rPr>
                <w:sz w:val="20"/>
              </w:rPr>
              <w:t>+600 V</w:t>
            </w:r>
          </w:p>
        </w:tc>
        <w:tc>
          <w:tcPr>
            <w:tcW w:type="dxa" w:w="3888"/>
            <w:shd w:val="clear" w:color="auto" w:fill="FFFFFF"/>
          </w:tcPr>
          <w:p>
            <w:pPr>
              <w:jc w:val="center"/>
            </w:pPr>
            <w:r>
              <w:rPr>
                <w:sz w:val="20"/>
              </w:rPr>
              <w:t>Algorithm recommendation</w:t>
            </w:r>
          </w:p>
        </w:tc>
      </w:tr>
      <w:tr>
        <w:tc>
          <w:tcPr>
            <w:tcW w:type="dxa" w:w="3168"/>
            <w:shd w:val="clear" w:color="auto" w:fill="EBF3FB"/>
          </w:tcPr>
          <w:p>
            <w:pPr>
              <w:jc w:val="center"/>
            </w:pPr>
            <w:r>
              <w:rPr>
                <w:sz w:val="20"/>
              </w:rPr>
              <w:t>Predicted CL</w:t>
            </w:r>
          </w:p>
        </w:tc>
        <w:tc>
          <w:tcPr>
            <w:tcW w:type="dxa" w:w="2304"/>
            <w:shd w:val="clear" w:color="auto" w:fill="EBF3FB"/>
          </w:tcPr>
          <w:p>
            <w:pPr>
              <w:jc w:val="center"/>
            </w:pPr>
            <w:r>
              <w:rPr>
                <w:sz w:val="20"/>
              </w:rPr>
              <w:t>0.1196</w:t>
            </w:r>
          </w:p>
        </w:tc>
        <w:tc>
          <w:tcPr>
            <w:tcW w:type="dxa" w:w="3888"/>
            <w:shd w:val="clear" w:color="auto" w:fill="EBF3FB"/>
          </w:tcPr>
          <w:p>
            <w:pPr>
              <w:jc w:val="center"/>
            </w:pPr>
            <w:r>
              <w:rPr>
                <w:sz w:val="20"/>
              </w:rPr>
              <w:t>Reduced lift (best feasible)</w:t>
            </w:r>
          </w:p>
        </w:tc>
      </w:tr>
      <w:tr>
        <w:tc>
          <w:tcPr>
            <w:tcW w:type="dxa" w:w="3168"/>
            <w:shd w:val="clear" w:color="auto" w:fill="FFFFFF"/>
          </w:tcPr>
          <w:p>
            <w:pPr>
              <w:jc w:val="center"/>
            </w:pPr>
            <w:r>
              <w:rPr>
                <w:sz w:val="20"/>
              </w:rPr>
              <w:t>Predicted CD</w:t>
            </w:r>
          </w:p>
        </w:tc>
        <w:tc>
          <w:tcPr>
            <w:tcW w:type="dxa" w:w="2304"/>
            <w:shd w:val="clear" w:color="auto" w:fill="FFFFFF"/>
          </w:tcPr>
          <w:p>
            <w:pPr>
              <w:jc w:val="center"/>
            </w:pPr>
            <w:r>
              <w:rPr>
                <w:sz w:val="20"/>
              </w:rPr>
              <w:t>0.0499</w:t>
            </w:r>
          </w:p>
        </w:tc>
        <w:tc>
          <w:tcPr>
            <w:tcW w:type="dxa" w:w="3888"/>
            <w:shd w:val="clear" w:color="auto" w:fill="FFFFFF"/>
          </w:tcPr>
          <w:p>
            <w:pPr>
              <w:jc w:val="center"/>
            </w:pPr>
            <w:r>
              <w:rPr>
                <w:sz w:val="20"/>
              </w:rPr>
              <w:t>Satisfies CD ≤ 0.05 constraint</w:t>
            </w:r>
          </w:p>
        </w:tc>
      </w:tr>
      <w:tr>
        <w:tc>
          <w:tcPr>
            <w:tcW w:type="dxa" w:w="3168"/>
            <w:shd w:val="clear" w:color="auto" w:fill="EBF3FB"/>
          </w:tcPr>
          <w:p>
            <w:pPr>
              <w:jc w:val="center"/>
            </w:pPr>
            <w:r>
              <w:rPr>
                <w:sz w:val="20"/>
              </w:rPr>
              <w:t>CL shortfall</w:t>
            </w:r>
          </w:p>
        </w:tc>
        <w:tc>
          <w:tcPr>
            <w:tcW w:type="dxa" w:w="2304"/>
            <w:shd w:val="clear" w:color="auto" w:fill="EBF3FB"/>
          </w:tcPr>
          <w:p>
            <w:pPr>
              <w:jc w:val="center"/>
            </w:pPr>
            <w:r>
              <w:rPr>
                <w:sz w:val="20"/>
              </w:rPr>
              <w:t>0.0304</w:t>
            </w:r>
          </w:p>
        </w:tc>
        <w:tc>
          <w:tcPr>
            <w:tcW w:type="dxa" w:w="3888"/>
            <w:shd w:val="clear" w:color="auto" w:fill="EBF3FB"/>
          </w:tcPr>
          <w:p>
            <w:pPr>
              <w:jc w:val="center"/>
            </w:pPr>
            <w:r>
              <w:rPr>
                <w:sz w:val="20"/>
              </w:rPr>
              <w:t>CL deficit due to drag constraint</w:t>
            </w:r>
          </w:p>
        </w:tc>
      </w:tr>
      <w:tr>
        <w:tc>
          <w:tcPr>
            <w:tcW w:type="dxa" w:w="3168"/>
            <w:shd w:val="clear" w:color="auto" w:fill="FFFFFF"/>
          </w:tcPr>
          <w:p>
            <w:pPr>
              <w:jc w:val="center"/>
            </w:pPr>
            <w:r>
              <w:rPr>
                <w:sz w:val="20"/>
              </w:rPr>
              <w:t>Algorithm report</w:t>
            </w:r>
          </w:p>
        </w:tc>
        <w:tc>
          <w:tcPr>
            <w:tcW w:type="dxa" w:w="2304"/>
            <w:shd w:val="clear" w:color="auto" w:fill="FFFFFF"/>
          </w:tcPr>
          <w:p>
            <w:pPr>
              <w:jc w:val="center"/>
            </w:pPr>
            <w:r>
              <w:rPr>
                <w:sz w:val="20"/>
              </w:rPr>
              <w:t>Infeasible — best compromise returned</w:t>
            </w:r>
          </w:p>
        </w:tc>
        <w:tc>
          <w:tcPr>
            <w:tcW w:type="dxa" w:w="3888"/>
            <w:shd w:val="clear" w:color="auto" w:fill="FFFFFF"/>
          </w:tcPr>
          <w:p>
            <w:pPr>
              <w:jc w:val="center"/>
            </w:pPr>
            <w:r>
              <w:rPr>
                <w:sz w:val="20"/>
              </w:rPr>
              <w:t>User informed of infeasibility</w:t>
            </w:r>
          </w:p>
        </w:tc>
      </w:tr>
    </w:tbl>
    <w:p/>
    <w:p>
      <w:pPr>
        <w:ind w:firstLine="360"/>
        <w:jc w:val="both"/>
        <w:spacing w:before="40" w:after="60"/>
      </w:pPr>
      <w:r>
        <w:rPr>
          <w:sz w:val="22"/>
        </w:rPr>
        <w:t>The infeasibility of Case B at the exact target CL = 0.15 with CD ≤ 0.05 is physically meaningful: at pitch = 8° with the available voltage range, achieving high lift (CL = 0.15) inevitably requires higher deflection, which increases drag above the 0.05 constraint. The algorithm correctly identifies this infeasibility and returns the best compromise — the solution that achieves the highest CL while strictly satisfying the CD constraint. This behavior is essential for practical control: the algorithm never violates hard constraints, and it clearly communicates when the specified performance target is physically unachievable.</w:t>
      </w:r>
    </w:p>
    <w:p>
      <w:pPr>
        <w:ind w:firstLine="360"/>
        <w:jc w:val="both"/>
        <w:spacing w:before="40" w:after="60"/>
      </w:pPr>
      <w:r>
        <w:rPr>
          <w:sz w:val="22"/>
        </w:rPr>
        <w:t>The Pareto trade-off between CL and CD at a fixed pitch angle is a fundamental characteristic of cambered airfoils: higher lift always comes with higher drag in the absence of flow control or leading-edge suction. The surrogate framework makes this trade-off explicitly quantifiable — designers can generate the full CL–CD Pareto frontier at any pitch angle by running the inverse algorithm at multiple target CL values with progressively tighter drag constraints.</w:t>
      </w:r>
    </w:p>
    <w:p>
      <w:r>
        <w:br w:type="page"/>
      </w:r>
    </w:p>
    <w:p>
      <w:pPr>
        <w:pStyle w:val="Heading1"/>
        <w:jc w:val="left"/>
      </w:pPr>
      <w:r>
        <w:rPr>
          <w:color w:val="1A2A6C"/>
          <w:sz w:val="30"/>
        </w:rPr>
        <w:t>9. SOFTWARE TOOLKIT &amp; IMPLEMENTATION</w:t>
      </w:r>
    </w:p>
    <w:p>
      <w:pPr>
        <w:pStyle w:val="Heading2"/>
        <w:jc w:val="left"/>
      </w:pPr>
      <w:r>
        <w:rPr>
          <w:color w:val="1A5C9C"/>
          <w:sz w:val="26"/>
        </w:rPr>
        <w:t>9.1 Project Structure &amp; Codebase Organization</w:t>
      </w:r>
    </w:p>
    <w:p>
      <w:pPr>
        <w:ind w:firstLine="360"/>
        <w:jc w:val="both"/>
        <w:spacing w:before="40" w:after="60"/>
      </w:pPr>
      <w:r>
        <w:rPr>
          <w:sz w:val="22"/>
        </w:rPr>
        <w:t>The ML framework is implemented as a modular Python package organized around three functional layers: (1) data processing and model training scripts, (2) inference and control tools for deployment, and (3) visualization utilities for results reporting. This organization separates concerns cleanly — training scripts need only be run once (or when new data is available), while inference tools can be invoked repeatedly in real-time without any training overhead.</w:t>
      </w:r>
    </w:p>
    <w:tbl>
      <w:tblPr>
        <w:tblStyle w:val="TableGrid"/>
        <w:tblW w:type="auto" w:w="0"/>
        <w:jc w:val="center"/>
        <w:tblLook w:firstColumn="1" w:firstRow="1" w:lastColumn="0" w:lastRow="0" w:noHBand="0" w:noVBand="1" w:val="04A0"/>
      </w:tblPr>
      <w:tblGrid>
        <w:gridCol w:w="3024"/>
        <w:gridCol w:w="3024"/>
        <w:gridCol w:w="3024"/>
      </w:tblGrid>
      <w:tr>
        <w:tc>
          <w:tcPr>
            <w:tcW w:type="dxa" w:w="3456"/>
            <w:shd w:val="clear" w:color="auto" w:fill="1A2A6C"/>
          </w:tcPr>
          <w:p>
            <w:pPr>
              <w:jc w:val="center"/>
            </w:pPr>
            <w:r>
              <w:rPr>
                <w:b/>
                <w:color w:val="FFFFFF"/>
                <w:sz w:val="20"/>
              </w:rPr>
              <w:t>Script / Module</w:t>
            </w:r>
          </w:p>
        </w:tc>
        <w:tc>
          <w:tcPr>
            <w:tcW w:type="dxa" w:w="1728"/>
            <w:shd w:val="clear" w:color="auto" w:fill="1A2A6C"/>
          </w:tcPr>
          <w:p>
            <w:pPr>
              <w:jc w:val="center"/>
            </w:pPr>
            <w:r>
              <w:rPr>
                <w:b/>
                <w:color w:val="FFFFFF"/>
                <w:sz w:val="20"/>
              </w:rPr>
              <w:t>Category</w:t>
            </w:r>
          </w:p>
        </w:tc>
        <w:tc>
          <w:tcPr>
            <w:tcW w:type="dxa" w:w="4176"/>
            <w:shd w:val="clear" w:color="auto" w:fill="1A2A6C"/>
          </w:tcPr>
          <w:p>
            <w:pPr>
              <w:jc w:val="center"/>
            </w:pPr>
            <w:r>
              <w:rPr>
                <w:b/>
                <w:color w:val="FFFFFF"/>
                <w:sz w:val="20"/>
              </w:rPr>
              <w:t>Function</w:t>
            </w:r>
          </w:p>
        </w:tc>
      </w:tr>
      <w:tr>
        <w:tc>
          <w:tcPr>
            <w:tcW w:type="dxa" w:w="3456"/>
            <w:shd w:val="clear" w:color="auto" w:fill="EBF3FB"/>
          </w:tcPr>
          <w:p>
            <w:pPr>
              <w:jc w:val="center"/>
            </w:pPr>
            <w:r>
              <w:rPr>
                <w:sz w:val="20"/>
              </w:rPr>
              <w:t>train_structural_surrogates.py</w:t>
            </w:r>
          </w:p>
        </w:tc>
        <w:tc>
          <w:tcPr>
            <w:tcW w:type="dxa" w:w="1728"/>
            <w:shd w:val="clear" w:color="auto" w:fill="EBF3FB"/>
          </w:tcPr>
          <w:p>
            <w:pPr>
              <w:jc w:val="center"/>
            </w:pPr>
            <w:r>
              <w:rPr>
                <w:sz w:val="20"/>
              </w:rPr>
              <w:t>Training</w:t>
            </w:r>
          </w:p>
        </w:tc>
        <w:tc>
          <w:tcPr>
            <w:tcW w:type="dxa" w:w="4176"/>
            <w:shd w:val="clear" w:color="auto" w:fill="EBF3FB"/>
          </w:tcPr>
          <w:p>
            <w:pPr>
              <w:jc w:val="center"/>
            </w:pPr>
            <w:r>
              <w:rPr>
                <w:sz w:val="20"/>
              </w:rPr>
              <w:t>Trains LR and MLP on 300 FEA points; saves models to disk</w:t>
            </w:r>
          </w:p>
        </w:tc>
      </w:tr>
      <w:tr>
        <w:tc>
          <w:tcPr>
            <w:tcW w:type="dxa" w:w="3456"/>
            <w:shd w:val="clear" w:color="auto" w:fill="FFFFFF"/>
          </w:tcPr>
          <w:p>
            <w:pPr>
              <w:jc w:val="center"/>
            </w:pPr>
            <w:r>
              <w:rPr>
                <w:sz w:val="20"/>
              </w:rPr>
              <w:t>train_aerodynamic_surrogates.py</w:t>
            </w:r>
          </w:p>
        </w:tc>
        <w:tc>
          <w:tcPr>
            <w:tcW w:type="dxa" w:w="1728"/>
            <w:shd w:val="clear" w:color="auto" w:fill="FFFFFF"/>
          </w:tcPr>
          <w:p>
            <w:pPr>
              <w:jc w:val="center"/>
            </w:pPr>
            <w:r>
              <w:rPr>
                <w:sz w:val="20"/>
              </w:rPr>
              <w:t>Training</w:t>
            </w:r>
          </w:p>
        </w:tc>
        <w:tc>
          <w:tcPr>
            <w:tcW w:type="dxa" w:w="4176"/>
            <w:shd w:val="clear" w:color="auto" w:fill="FFFFFF"/>
          </w:tcPr>
          <w:p>
            <w:pPr>
              <w:jc w:val="center"/>
            </w:pPr>
            <w:r>
              <w:rPr>
                <w:sz w:val="20"/>
              </w:rPr>
              <w:t>Trains LR and MLP on original 201 CFD points</w:t>
            </w:r>
          </w:p>
        </w:tc>
      </w:tr>
      <w:tr>
        <w:tc>
          <w:tcPr>
            <w:tcW w:type="dxa" w:w="3456"/>
            <w:shd w:val="clear" w:color="auto" w:fill="EBF3FB"/>
          </w:tcPr>
          <w:p>
            <w:pPr>
              <w:jc w:val="center"/>
            </w:pPr>
            <w:r>
              <w:rPr>
                <w:sz w:val="20"/>
              </w:rPr>
              <w:t>generate_synthetic_data.py</w:t>
            </w:r>
          </w:p>
        </w:tc>
        <w:tc>
          <w:tcPr>
            <w:tcW w:type="dxa" w:w="1728"/>
            <w:shd w:val="clear" w:color="auto" w:fill="EBF3FB"/>
          </w:tcPr>
          <w:p>
            <w:pPr>
              <w:jc w:val="center"/>
            </w:pPr>
            <w:r>
              <w:rPr>
                <w:sz w:val="20"/>
              </w:rPr>
              <w:t>Data Processing</w:t>
            </w:r>
          </w:p>
        </w:tc>
        <w:tc>
          <w:tcPr>
            <w:tcW w:type="dxa" w:w="4176"/>
            <w:shd w:val="clear" w:color="auto" w:fill="EBF3FB"/>
          </w:tcPr>
          <w:p>
            <w:pPr>
              <w:jc w:val="center"/>
            </w:pPr>
            <w:r>
              <w:rPr>
                <w:sz w:val="20"/>
              </w:rPr>
              <w:t>Generates 7,797 synthetic rows via augmentation pipeline</w:t>
            </w:r>
          </w:p>
        </w:tc>
      </w:tr>
      <w:tr>
        <w:tc>
          <w:tcPr>
            <w:tcW w:type="dxa" w:w="3456"/>
            <w:shd w:val="clear" w:color="auto" w:fill="FFFFFF"/>
          </w:tcPr>
          <w:p>
            <w:pPr>
              <w:jc w:val="center"/>
            </w:pPr>
            <w:r>
              <w:rPr>
                <w:sz w:val="20"/>
              </w:rPr>
              <w:t>train_augmented_surrogates.py</w:t>
            </w:r>
          </w:p>
        </w:tc>
        <w:tc>
          <w:tcPr>
            <w:tcW w:type="dxa" w:w="1728"/>
            <w:shd w:val="clear" w:color="auto" w:fill="FFFFFF"/>
          </w:tcPr>
          <w:p>
            <w:pPr>
              <w:jc w:val="center"/>
            </w:pPr>
            <w:r>
              <w:rPr>
                <w:sz w:val="20"/>
              </w:rPr>
              <w:t>Training</w:t>
            </w:r>
          </w:p>
        </w:tc>
        <w:tc>
          <w:tcPr>
            <w:tcW w:type="dxa" w:w="4176"/>
            <w:shd w:val="clear" w:color="auto" w:fill="FFFFFF"/>
          </w:tcPr>
          <w:p>
            <w:pPr>
              <w:jc w:val="center"/>
            </w:pPr>
            <w:r>
              <w:rPr>
                <w:sz w:val="20"/>
              </w:rPr>
              <w:t>Retrains models on augmented ~8,000 point dataset</w:t>
            </w:r>
          </w:p>
        </w:tc>
      </w:tr>
      <w:tr>
        <w:tc>
          <w:tcPr>
            <w:tcW w:type="dxa" w:w="3456"/>
            <w:shd w:val="clear" w:color="auto" w:fill="EBF3FB"/>
          </w:tcPr>
          <w:p>
            <w:pPr>
              <w:jc w:val="center"/>
            </w:pPr>
            <w:r>
              <w:rPr>
                <w:sz w:val="20"/>
              </w:rPr>
              <w:t>surrogate_chain.py</w:t>
            </w:r>
          </w:p>
        </w:tc>
        <w:tc>
          <w:tcPr>
            <w:tcW w:type="dxa" w:w="1728"/>
            <w:shd w:val="clear" w:color="auto" w:fill="EBF3FB"/>
          </w:tcPr>
          <w:p>
            <w:pPr>
              <w:jc w:val="center"/>
            </w:pPr>
            <w:r>
              <w:rPr>
                <w:sz w:val="20"/>
              </w:rPr>
              <w:t>Inference</w:t>
            </w:r>
          </w:p>
        </w:tc>
        <w:tc>
          <w:tcPr>
            <w:tcW w:type="dxa" w:w="4176"/>
            <w:shd w:val="clear" w:color="auto" w:fill="EBF3FB"/>
          </w:tcPr>
          <w:p>
            <w:pPr>
              <w:jc w:val="center"/>
            </w:pPr>
            <w:r>
              <w:rPr>
                <w:sz w:val="20"/>
              </w:rPr>
              <w:t>Core engine: loads saved models, runs chained forward pass</w:t>
            </w:r>
          </w:p>
        </w:tc>
      </w:tr>
      <w:tr>
        <w:tc>
          <w:tcPr>
            <w:tcW w:type="dxa" w:w="3456"/>
            <w:shd w:val="clear" w:color="auto" w:fill="FFFFFF"/>
          </w:tcPr>
          <w:p>
            <w:pPr>
              <w:jc w:val="center"/>
            </w:pPr>
            <w:r>
              <w:rPr>
                <w:sz w:val="20"/>
              </w:rPr>
              <w:t>predict_cl_cd.py</w:t>
            </w:r>
          </w:p>
        </w:tc>
        <w:tc>
          <w:tcPr>
            <w:tcW w:type="dxa" w:w="1728"/>
            <w:shd w:val="clear" w:color="auto" w:fill="FFFFFF"/>
          </w:tcPr>
          <w:p>
            <w:pPr>
              <w:jc w:val="center"/>
            </w:pPr>
            <w:r>
              <w:rPr>
                <w:sz w:val="20"/>
              </w:rPr>
              <w:t>Inference</w:t>
            </w:r>
          </w:p>
        </w:tc>
        <w:tc>
          <w:tcPr>
            <w:tcW w:type="dxa" w:w="4176"/>
            <w:shd w:val="clear" w:color="auto" w:fill="FFFFFF"/>
          </w:tcPr>
          <w:p>
            <w:pPr>
              <w:jc w:val="center"/>
            </w:pPr>
            <w:r>
              <w:rPr>
                <w:sz w:val="20"/>
              </w:rPr>
              <w:t>CLI: voltages + pitch → CL, CD (single prediction)</w:t>
            </w:r>
          </w:p>
        </w:tc>
      </w:tr>
      <w:tr>
        <w:tc>
          <w:tcPr>
            <w:tcW w:type="dxa" w:w="3456"/>
            <w:shd w:val="clear" w:color="auto" w:fill="EBF3FB"/>
          </w:tcPr>
          <w:p>
            <w:pPr>
              <w:jc w:val="center"/>
            </w:pPr>
            <w:r>
              <w:rPr>
                <w:sz w:val="20"/>
              </w:rPr>
              <w:t>recommend_voltages.py</w:t>
            </w:r>
          </w:p>
        </w:tc>
        <w:tc>
          <w:tcPr>
            <w:tcW w:type="dxa" w:w="1728"/>
            <w:shd w:val="clear" w:color="auto" w:fill="EBF3FB"/>
          </w:tcPr>
          <w:p>
            <w:pPr>
              <w:jc w:val="center"/>
            </w:pPr>
            <w:r>
              <w:rPr>
                <w:sz w:val="20"/>
              </w:rPr>
              <w:t>Inverse Control</w:t>
            </w:r>
          </w:p>
        </w:tc>
        <w:tc>
          <w:tcPr>
            <w:tcW w:type="dxa" w:w="4176"/>
            <w:shd w:val="clear" w:color="auto" w:fill="EBF3FB"/>
          </w:tcPr>
          <w:p>
            <w:pPr>
              <w:jc w:val="center"/>
            </w:pPr>
            <w:r>
              <w:rPr>
                <w:sz w:val="20"/>
              </w:rPr>
              <w:t>CLI: target CL + pitch → ranked voltage recommendations</w:t>
            </w:r>
          </w:p>
        </w:tc>
      </w:tr>
      <w:tr>
        <w:tc>
          <w:tcPr>
            <w:tcW w:type="dxa" w:w="3456"/>
            <w:shd w:val="clear" w:color="auto" w:fill="FFFFFF"/>
          </w:tcPr>
          <w:p>
            <w:pPr>
              <w:jc w:val="center"/>
            </w:pPr>
            <w:r>
              <w:rPr>
                <w:sz w:val="20"/>
              </w:rPr>
              <w:t>generate_publication_plots.py</w:t>
            </w:r>
          </w:p>
        </w:tc>
        <w:tc>
          <w:tcPr>
            <w:tcW w:type="dxa" w:w="1728"/>
            <w:shd w:val="clear" w:color="auto" w:fill="FFFFFF"/>
          </w:tcPr>
          <w:p>
            <w:pPr>
              <w:jc w:val="center"/>
            </w:pPr>
            <w:r>
              <w:rPr>
                <w:sz w:val="20"/>
              </w:rPr>
              <w:t>Visualization</w:t>
            </w:r>
          </w:p>
        </w:tc>
        <w:tc>
          <w:tcPr>
            <w:tcW w:type="dxa" w:w="4176"/>
            <w:shd w:val="clear" w:color="auto" w:fill="FFFFFF"/>
          </w:tcPr>
          <w:p>
            <w:pPr>
              <w:jc w:val="center"/>
            </w:pPr>
            <w:r>
              <w:rPr>
                <w:sz w:val="20"/>
              </w:rPr>
              <w:t>Creates all 10 publication-quality figures (Figs 1–10)</w:t>
            </w:r>
          </w:p>
        </w:tc>
      </w:tr>
      <w:tr>
        <w:tc>
          <w:tcPr>
            <w:tcW w:type="dxa" w:w="3456"/>
            <w:shd w:val="clear" w:color="auto" w:fill="EBF3FB"/>
          </w:tcPr>
          <w:p>
            <w:pPr>
              <w:jc w:val="center"/>
            </w:pPr>
            <w:r>
              <w:rPr>
                <w:sz w:val="20"/>
              </w:rPr>
              <w:t>plot_structural_response_surfaces.py</w:t>
            </w:r>
          </w:p>
        </w:tc>
        <w:tc>
          <w:tcPr>
            <w:tcW w:type="dxa" w:w="1728"/>
            <w:shd w:val="clear" w:color="auto" w:fill="EBF3FB"/>
          </w:tcPr>
          <w:p>
            <w:pPr>
              <w:jc w:val="center"/>
            </w:pPr>
            <w:r>
              <w:rPr>
                <w:sz w:val="20"/>
              </w:rPr>
              <w:t>Visualization</w:t>
            </w:r>
          </w:p>
        </w:tc>
        <w:tc>
          <w:tcPr>
            <w:tcW w:type="dxa" w:w="4176"/>
            <w:shd w:val="clear" w:color="auto" w:fill="EBF3FB"/>
          </w:tcPr>
          <w:p>
            <w:pPr>
              <w:jc w:val="center"/>
            </w:pPr>
            <w:r>
              <w:rPr>
                <w:sz w:val="20"/>
              </w:rPr>
              <w:t>3D response surface plots for structural deflection</w:t>
            </w:r>
          </w:p>
        </w:tc>
      </w:tr>
    </w:tbl>
    <w:p/>
    <w:p>
      <w:pPr>
        <w:pStyle w:val="Heading2"/>
        <w:jc w:val="left"/>
      </w:pPr>
      <w:r>
        <w:rPr>
          <w:color w:val="1A5C9C"/>
          <w:sz w:val="26"/>
        </w:rPr>
        <w:t>9.2 Dependencies &amp; Environment Setup</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val="clear" w:color="auto" w:fill="1A2A6C"/>
          </w:tcPr>
          <w:p>
            <w:pPr>
              <w:jc w:val="center"/>
            </w:pPr>
            <w:r>
              <w:rPr>
                <w:b/>
                <w:color w:val="FFFFFF"/>
                <w:sz w:val="20"/>
              </w:rPr>
              <w:t>Package</w:t>
            </w:r>
          </w:p>
        </w:tc>
        <w:tc>
          <w:tcPr>
            <w:tcW w:type="dxa" w:w="1728"/>
            <w:shd w:val="clear" w:color="auto" w:fill="1A2A6C"/>
          </w:tcPr>
          <w:p>
            <w:pPr>
              <w:jc w:val="center"/>
            </w:pPr>
            <w:r>
              <w:rPr>
                <w:b/>
                <w:color w:val="FFFFFF"/>
                <w:sz w:val="20"/>
              </w:rPr>
              <w:t>Version</w:t>
            </w:r>
          </w:p>
        </w:tc>
        <w:tc>
          <w:tcPr>
            <w:tcW w:type="dxa" w:w="5472"/>
            <w:shd w:val="clear" w:color="auto" w:fill="1A2A6C"/>
          </w:tcPr>
          <w:p>
            <w:pPr>
              <w:jc w:val="center"/>
            </w:pPr>
            <w:r>
              <w:rPr>
                <w:b/>
                <w:color w:val="FFFFFF"/>
                <w:sz w:val="20"/>
              </w:rPr>
              <w:t>Purpose</w:t>
            </w:r>
          </w:p>
        </w:tc>
      </w:tr>
      <w:tr>
        <w:tc>
          <w:tcPr>
            <w:tcW w:type="dxa" w:w="2160"/>
            <w:shd w:val="clear" w:color="auto" w:fill="EBF3FB"/>
          </w:tcPr>
          <w:p>
            <w:pPr>
              <w:jc w:val="center"/>
            </w:pPr>
            <w:r>
              <w:rPr>
                <w:sz w:val="20"/>
              </w:rPr>
              <w:t>numpy</w:t>
            </w:r>
          </w:p>
        </w:tc>
        <w:tc>
          <w:tcPr>
            <w:tcW w:type="dxa" w:w="1728"/>
            <w:shd w:val="clear" w:color="auto" w:fill="EBF3FB"/>
          </w:tcPr>
          <w:p>
            <w:pPr>
              <w:jc w:val="center"/>
            </w:pPr>
            <w:r>
              <w:rPr>
                <w:sz w:val="20"/>
              </w:rPr>
              <w:t>≥ 1.24</w:t>
            </w:r>
          </w:p>
        </w:tc>
        <w:tc>
          <w:tcPr>
            <w:tcW w:type="dxa" w:w="5472"/>
            <w:shd w:val="clear" w:color="auto" w:fill="EBF3FB"/>
          </w:tcPr>
          <w:p>
            <w:pPr>
              <w:jc w:val="center"/>
            </w:pPr>
            <w:r>
              <w:rPr>
                <w:sz w:val="20"/>
              </w:rPr>
              <w:t>Numerical arrays and linear algebra</w:t>
            </w:r>
          </w:p>
        </w:tc>
      </w:tr>
      <w:tr>
        <w:tc>
          <w:tcPr>
            <w:tcW w:type="dxa" w:w="2160"/>
            <w:shd w:val="clear" w:color="auto" w:fill="FFFFFF"/>
          </w:tcPr>
          <w:p>
            <w:pPr>
              <w:jc w:val="center"/>
            </w:pPr>
            <w:r>
              <w:rPr>
                <w:sz w:val="20"/>
              </w:rPr>
              <w:t>pandas</w:t>
            </w:r>
          </w:p>
        </w:tc>
        <w:tc>
          <w:tcPr>
            <w:tcW w:type="dxa" w:w="1728"/>
            <w:shd w:val="clear" w:color="auto" w:fill="FFFFFF"/>
          </w:tcPr>
          <w:p>
            <w:pPr>
              <w:jc w:val="center"/>
            </w:pPr>
            <w:r>
              <w:rPr>
                <w:sz w:val="20"/>
              </w:rPr>
              <w:t>≥ 2.0</w:t>
            </w:r>
          </w:p>
        </w:tc>
        <w:tc>
          <w:tcPr>
            <w:tcW w:type="dxa" w:w="5472"/>
            <w:shd w:val="clear" w:color="auto" w:fill="FFFFFF"/>
          </w:tcPr>
          <w:p>
            <w:pPr>
              <w:jc w:val="center"/>
            </w:pPr>
            <w:r>
              <w:rPr>
                <w:sz w:val="20"/>
              </w:rPr>
              <w:t>Data loading, manipulation, CSV/Excel I/O</w:t>
            </w:r>
          </w:p>
        </w:tc>
      </w:tr>
      <w:tr>
        <w:tc>
          <w:tcPr>
            <w:tcW w:type="dxa" w:w="2160"/>
            <w:shd w:val="clear" w:color="auto" w:fill="EBF3FB"/>
          </w:tcPr>
          <w:p>
            <w:pPr>
              <w:jc w:val="center"/>
            </w:pPr>
            <w:r>
              <w:rPr>
                <w:sz w:val="20"/>
              </w:rPr>
              <w:t>scikit-learn</w:t>
            </w:r>
          </w:p>
        </w:tc>
        <w:tc>
          <w:tcPr>
            <w:tcW w:type="dxa" w:w="1728"/>
            <w:shd w:val="clear" w:color="auto" w:fill="EBF3FB"/>
          </w:tcPr>
          <w:p>
            <w:pPr>
              <w:jc w:val="center"/>
            </w:pPr>
            <w:r>
              <w:rPr>
                <w:sz w:val="20"/>
              </w:rPr>
              <w:t>≥ 1.3</w:t>
            </w:r>
          </w:p>
        </w:tc>
        <w:tc>
          <w:tcPr>
            <w:tcW w:type="dxa" w:w="5472"/>
            <w:shd w:val="clear" w:color="auto" w:fill="EBF3FB"/>
          </w:tcPr>
          <w:p>
            <w:pPr>
              <w:jc w:val="center"/>
            </w:pPr>
            <w:r>
              <w:rPr>
                <w:sz w:val="20"/>
              </w:rPr>
              <w:t>Linear regression, MLP, StandardScaler, metrics</w:t>
            </w:r>
          </w:p>
        </w:tc>
      </w:tr>
      <w:tr>
        <w:tc>
          <w:tcPr>
            <w:tcW w:type="dxa" w:w="2160"/>
            <w:shd w:val="clear" w:color="auto" w:fill="FFFFFF"/>
          </w:tcPr>
          <w:p>
            <w:pPr>
              <w:jc w:val="center"/>
            </w:pPr>
            <w:r>
              <w:rPr>
                <w:sz w:val="20"/>
              </w:rPr>
              <w:t>scipy</w:t>
            </w:r>
          </w:p>
        </w:tc>
        <w:tc>
          <w:tcPr>
            <w:tcW w:type="dxa" w:w="1728"/>
            <w:shd w:val="clear" w:color="auto" w:fill="FFFFFF"/>
          </w:tcPr>
          <w:p>
            <w:pPr>
              <w:jc w:val="center"/>
            </w:pPr>
            <w:r>
              <w:rPr>
                <w:sz w:val="20"/>
              </w:rPr>
              <w:t>≥ 1.11</w:t>
            </w:r>
          </w:p>
        </w:tc>
        <w:tc>
          <w:tcPr>
            <w:tcW w:type="dxa" w:w="5472"/>
            <w:shd w:val="clear" w:color="auto" w:fill="FFFFFF"/>
          </w:tcPr>
          <w:p>
            <w:pPr>
              <w:jc w:val="center"/>
            </w:pPr>
            <w:r>
              <w:rPr>
                <w:sz w:val="20"/>
              </w:rPr>
              <w:t>L-BFGS-B optimizer, interpolation routines</w:t>
            </w:r>
          </w:p>
        </w:tc>
      </w:tr>
      <w:tr>
        <w:tc>
          <w:tcPr>
            <w:tcW w:type="dxa" w:w="2160"/>
            <w:shd w:val="clear" w:color="auto" w:fill="EBF3FB"/>
          </w:tcPr>
          <w:p>
            <w:pPr>
              <w:jc w:val="center"/>
            </w:pPr>
            <w:r>
              <w:rPr>
                <w:sz w:val="20"/>
              </w:rPr>
              <w:t>matplotlib</w:t>
            </w:r>
          </w:p>
        </w:tc>
        <w:tc>
          <w:tcPr>
            <w:tcW w:type="dxa" w:w="1728"/>
            <w:shd w:val="clear" w:color="auto" w:fill="EBF3FB"/>
          </w:tcPr>
          <w:p>
            <w:pPr>
              <w:jc w:val="center"/>
            </w:pPr>
            <w:r>
              <w:rPr>
                <w:sz w:val="20"/>
              </w:rPr>
              <w:t>≥ 3.7</w:t>
            </w:r>
          </w:p>
        </w:tc>
        <w:tc>
          <w:tcPr>
            <w:tcW w:type="dxa" w:w="5472"/>
            <w:shd w:val="clear" w:color="auto" w:fill="EBF3FB"/>
          </w:tcPr>
          <w:p>
            <w:pPr>
              <w:jc w:val="center"/>
            </w:pPr>
            <w:r>
              <w:rPr>
                <w:sz w:val="20"/>
              </w:rPr>
              <w:t>Publication-quality figure generation</w:t>
            </w:r>
          </w:p>
        </w:tc>
      </w:tr>
      <w:tr>
        <w:tc>
          <w:tcPr>
            <w:tcW w:type="dxa" w:w="2160"/>
            <w:shd w:val="clear" w:color="auto" w:fill="FFFFFF"/>
          </w:tcPr>
          <w:p>
            <w:pPr>
              <w:jc w:val="center"/>
            </w:pPr>
            <w:r>
              <w:rPr>
                <w:sz w:val="20"/>
              </w:rPr>
              <w:t>openpyxl</w:t>
            </w:r>
          </w:p>
        </w:tc>
        <w:tc>
          <w:tcPr>
            <w:tcW w:type="dxa" w:w="1728"/>
            <w:shd w:val="clear" w:color="auto" w:fill="FFFFFF"/>
          </w:tcPr>
          <w:p>
            <w:pPr>
              <w:jc w:val="center"/>
            </w:pPr>
            <w:r>
              <w:rPr>
                <w:sz w:val="20"/>
              </w:rPr>
              <w:t>≥ 3.1</w:t>
            </w:r>
          </w:p>
        </w:tc>
        <w:tc>
          <w:tcPr>
            <w:tcW w:type="dxa" w:w="5472"/>
            <w:shd w:val="clear" w:color="auto" w:fill="FFFFFF"/>
          </w:tcPr>
          <w:p>
            <w:pPr>
              <w:jc w:val="center"/>
            </w:pPr>
            <w:r>
              <w:rPr>
                <w:sz w:val="20"/>
              </w:rPr>
              <w:t>Reading .xlsx structural data files</w:t>
            </w:r>
          </w:p>
        </w:tc>
      </w:tr>
      <w:tr>
        <w:tc>
          <w:tcPr>
            <w:tcW w:type="dxa" w:w="2160"/>
            <w:shd w:val="clear" w:color="auto" w:fill="EBF3FB"/>
          </w:tcPr>
          <w:p>
            <w:pPr>
              <w:jc w:val="center"/>
            </w:pPr>
            <w:r>
              <w:rPr>
                <w:sz w:val="20"/>
              </w:rPr>
              <w:t>joblib</w:t>
            </w:r>
          </w:p>
        </w:tc>
        <w:tc>
          <w:tcPr>
            <w:tcW w:type="dxa" w:w="1728"/>
            <w:shd w:val="clear" w:color="auto" w:fill="EBF3FB"/>
          </w:tcPr>
          <w:p>
            <w:pPr>
              <w:jc w:val="center"/>
            </w:pPr>
            <w:r>
              <w:rPr>
                <w:sz w:val="20"/>
              </w:rPr>
              <w:t>≥ 1.3</w:t>
            </w:r>
          </w:p>
        </w:tc>
        <w:tc>
          <w:tcPr>
            <w:tcW w:type="dxa" w:w="5472"/>
            <w:shd w:val="clear" w:color="auto" w:fill="EBF3FB"/>
          </w:tcPr>
          <w:p>
            <w:pPr>
              <w:jc w:val="center"/>
            </w:pPr>
            <w:r>
              <w:rPr>
                <w:sz w:val="20"/>
              </w:rPr>
              <w:t>Model serialisation (save/load trained surrogates)</w:t>
            </w:r>
          </w:p>
        </w:tc>
      </w:tr>
    </w:tbl>
    <w:p/>
    <w:p>
      <w:pPr>
        <w:pStyle w:val="Heading2"/>
        <w:jc w:val="left"/>
      </w:pPr>
      <w:r>
        <w:rPr>
          <w:color w:val="1A5C9C"/>
          <w:sz w:val="26"/>
        </w:rPr>
        <w:t>9.3 Quick-Start Guide</w:t>
      </w:r>
    </w:p>
    <w:p>
      <w:pPr>
        <w:spacing w:before="40" w:after="10"/>
      </w:pPr>
      <w:r>
        <w:rPr>
          <w:b/>
          <w:sz w:val="22"/>
        </w:rPr>
        <w:t>Environment setup (Windows PowerShell):</w:t>
      </w:r>
    </w:p>
    <w:p>
      <w:pPr>
        <w:ind w:left="432"/>
        <w:spacing w:before="0" w:after="50"/>
      </w:pPr>
      <w:r>
        <w:rPr>
          <w:rFonts w:ascii="Courier New" w:hAnsi="Courier New"/>
          <w:color w:val="1A1A1A"/>
          <w:sz w:val="19"/>
        </w:rPr>
        <w:t>python -m venv .venv</w:t>
        <w:br/>
        <w:t>.venv\Scripts\Activate.ps1</w:t>
        <w:br/>
        <w:t>pip install -r requirements.txt</w:t>
      </w:r>
    </w:p>
    <w:p>
      <w:pPr>
        <w:spacing w:before="40" w:after="10"/>
      </w:pPr>
      <w:r>
        <w:rPr>
          <w:b/>
          <w:sz w:val="22"/>
        </w:rPr>
        <w:t>Training all models (one-time, ~5–10 minutes):</w:t>
      </w:r>
    </w:p>
    <w:p>
      <w:pPr>
        <w:ind w:left="432"/>
        <w:spacing w:before="0" w:after="50"/>
      </w:pPr>
      <w:r>
        <w:rPr>
          <w:rFonts w:ascii="Courier New" w:hAnsi="Courier New"/>
          <w:color w:val="1A1A1A"/>
          <w:sz w:val="19"/>
        </w:rPr>
        <w:t>python train_structural_surrogates.py</w:t>
        <w:br/>
        <w:t>python generate_synthetic_data.py</w:t>
        <w:br/>
        <w:t>python train_augmented_surrogates.py</w:t>
      </w:r>
    </w:p>
    <w:p>
      <w:pPr>
        <w:spacing w:before="40" w:after="10"/>
      </w:pPr>
      <w:r>
        <w:rPr>
          <w:b/>
          <w:sz w:val="22"/>
        </w:rPr>
        <w:t>Forward prediction — voltages to CL, CD:</w:t>
      </w:r>
    </w:p>
    <w:p>
      <w:pPr>
        <w:ind w:left="432"/>
        <w:spacing w:before="0" w:after="50"/>
      </w:pPr>
      <w:r>
        <w:rPr>
          <w:rFonts w:ascii="Courier New" w:hAnsi="Courier New"/>
          <w:color w:val="1A1A1A"/>
          <w:sz w:val="19"/>
        </w:rPr>
        <w:t>python predict_cl_cd.py --upper-v 750 --lower-v -250 --pitch-deg 8</w:t>
        <w:br/>
        <w:t># Output: CL = 0.1501, CD = 0.0512</w:t>
      </w:r>
    </w:p>
    <w:p>
      <w:pPr>
        <w:spacing w:before="40" w:after="10"/>
      </w:pPr>
      <w:r>
        <w:rPr>
          <w:b/>
          <w:sz w:val="22"/>
        </w:rPr>
        <w:t>Inverse recommendation — target CL to voltages:</w:t>
      </w:r>
    </w:p>
    <w:p>
      <w:pPr>
        <w:ind w:left="432"/>
        <w:spacing w:before="0" w:after="50"/>
      </w:pPr>
      <w:r>
        <w:rPr>
          <w:rFonts w:ascii="Courier New" w:hAnsi="Courier New"/>
          <w:color w:val="1A1A1A"/>
          <w:sz w:val="19"/>
        </w:rPr>
        <w:t>python recommend_voltages.py --target-cl 0.15 --pitch-deg 8</w:t>
        <w:br/>
        <w:t># Output: Top-5 voltage recommendations with predicted CL, CD</w:t>
      </w:r>
    </w:p>
    <w:p>
      <w:pPr>
        <w:spacing w:before="40" w:after="10"/>
      </w:pPr>
      <w:r>
        <w:rPr>
          <w:b/>
          <w:sz w:val="22"/>
        </w:rPr>
        <w:t>Inverse with drag constraint:</w:t>
      </w:r>
    </w:p>
    <w:p>
      <w:pPr>
        <w:ind w:left="432"/>
        <w:spacing w:before="0" w:after="50"/>
      </w:pPr>
      <w:r>
        <w:rPr>
          <w:rFonts w:ascii="Courier New" w:hAnsi="Courier New"/>
          <w:color w:val="1A1A1A"/>
          <w:sz w:val="19"/>
        </w:rPr>
        <w:t>python recommend_voltages.py --target-cl 0.15 --pitch-deg 8 --max-cd 0.05</w:t>
        <w:br/>
        <w:t># Output: Best feasible solution, infeasibility notice if applicable</w:t>
      </w:r>
    </w:p>
    <w:p>
      <w:pPr>
        <w:spacing w:before="40" w:after="10"/>
      </w:pPr>
      <w:r>
        <w:rPr>
          <w:b/>
          <w:sz w:val="22"/>
        </w:rPr>
        <w:t>Regenerate all publication figures:</w:t>
      </w:r>
    </w:p>
    <w:p>
      <w:pPr>
        <w:ind w:left="432"/>
        <w:spacing w:before="0" w:after="50"/>
      </w:pPr>
      <w:r>
        <w:rPr>
          <w:rFonts w:ascii="Courier New" w:hAnsi="Courier New"/>
          <w:color w:val="1A1A1A"/>
          <w:sz w:val="19"/>
        </w:rPr>
        <w:t>python generate_publication_plots.py</w:t>
        <w:br/>
        <w:t># Output: Saves Figures 1–10 as high-resolution PNG files</w:t>
      </w:r>
    </w:p>
    <w:p>
      <w:pPr>
        <w:pStyle w:val="Heading2"/>
        <w:jc w:val="left"/>
      </w:pPr>
      <w:r>
        <w:rPr>
          <w:color w:val="1A5C9C"/>
          <w:sz w:val="26"/>
        </w:rPr>
        <w:t>9.4 Model Persistence &amp; Reproducibility</w:t>
      </w:r>
    </w:p>
    <w:p>
      <w:pPr>
        <w:ind w:firstLine="360"/>
        <w:jc w:val="both"/>
        <w:spacing w:before="40" w:after="60"/>
      </w:pPr>
      <w:r>
        <w:rPr>
          <w:sz w:val="22"/>
        </w:rPr>
        <w:t>All trained models are serialized to disk using joblib's efficient binary format, enabling instant loading at inference time without retraining. The surrogate_chain.py module loads all required model objects and scalers on initialization, completing the load process in under 100 milliseconds. A random seed (seed = 42) is fixed in all training scripts for complete reproducibility — any researcher running the training scripts on the same input data will obtain identical model parameters and performance metrics to those reported in this document.</w:t>
      </w:r>
    </w:p>
    <w:p>
      <w:pPr>
        <w:ind w:firstLine="360"/>
        <w:jc w:val="both"/>
        <w:spacing w:before="40" w:after="60"/>
      </w:pPr>
      <w:r>
        <w:rPr>
          <w:sz w:val="22"/>
        </w:rPr>
        <w:t>Model versioning is tracked through a simple JSON manifest file (model_manifest.json) that records the training dataset hash, training date, hyperparameters, and validation metrics for each saved model. This enables future retraining (e.g., after adding new CFD data) to be tracked systematically, with performance comparisons against previous model versions.</w:t>
      </w:r>
    </w:p>
    <w:p>
      <w:r>
        <w:br w:type="page"/>
      </w:r>
    </w:p>
    <w:p>
      <w:pPr>
        <w:pStyle w:val="Heading1"/>
        <w:jc w:val="left"/>
      </w:pPr>
      <w:r>
        <w:rPr>
          <w:color w:val="1A2A6C"/>
          <w:sz w:val="30"/>
        </w:rPr>
        <w:t>10. CONCLUSIONS &amp; FUTURE WORK</w:t>
      </w:r>
    </w:p>
    <w:p>
      <w:pPr>
        <w:pStyle w:val="Heading2"/>
        <w:jc w:val="left"/>
      </w:pPr>
      <w:r>
        <w:rPr>
          <w:color w:val="1A5C9C"/>
          <w:sz w:val="26"/>
        </w:rPr>
        <w:t>10.1 Key Achievements</w:t>
      </w:r>
    </w:p>
    <w:p>
      <w:pPr>
        <w:ind w:firstLine="360"/>
        <w:jc w:val="both"/>
        <w:spacing w:before="40" w:after="60"/>
      </w:pPr>
      <w:r>
        <w:rPr>
          <w:sz w:val="22"/>
        </w:rPr>
        <w:t>This project has successfully developed, validated, and packaged a production-ready machine learning surrogate framework for aerodynamic and structural modelling of a piezoelectric morphing NACA 0009 wing. The following achievements constitute the principal scientific and engineering contributions of this work:</w:t>
      </w:r>
    </w:p>
    <w:p>
      <w:pPr>
        <w:ind w:left="288" w:hanging="288"/>
        <w:jc w:val="both"/>
        <w:spacing w:before="40" w:after="40"/>
      </w:pPr>
      <w:r>
        <w:rPr>
          <w:b/>
          <w:sz w:val="22"/>
        </w:rPr>
        <w:t xml:space="preserve">✓ Two-Stage Surrogate Architecture:  </w:t>
      </w:r>
      <w:r>
        <w:rPr>
          <w:i w:val="0"/>
          <w:sz w:val="22"/>
        </w:rPr>
        <w:t>A physically decomposed, modular pipeline is developed that mirrors the causal chain of the MFC-wing system: voltages → deflection → aerodynamics. This decomposition enables independent validation, physical interpretability, and modular updating of each stage.</w:t>
      </w:r>
    </w:p>
    <w:p>
      <w:pPr>
        <w:ind w:left="288" w:hanging="288"/>
        <w:jc w:val="both"/>
        <w:spacing w:before="40" w:after="40"/>
      </w:pPr>
      <w:r>
        <w:rPr>
          <w:b/>
          <w:sz w:val="22"/>
        </w:rPr>
        <w:t xml:space="preserve">✓ Near-Perfect Structural Accuracy:  </w:t>
      </w:r>
      <w:r>
        <w:rPr>
          <w:i w:val="0"/>
          <w:sz w:val="22"/>
        </w:rPr>
        <w:t>The linear regression structural surrogate achieves R² = 0.999998 and MAE = 0.00164 mm across the full 10 × 30 voltage grid, confirming the linear electromechanical behaviour of MFC actuators and providing an accurate, physically interpretable mapping from voltages to deflection.</w:t>
      </w:r>
    </w:p>
    <w:p>
      <w:pPr>
        <w:ind w:left="288" w:hanging="288"/>
        <w:jc w:val="both"/>
        <w:spacing w:before="40" w:after="40"/>
      </w:pPr>
      <w:r>
        <w:rPr>
          <w:b/>
          <w:sz w:val="22"/>
        </w:rPr>
        <w:t xml:space="preserve">✓ Transformative Aerodynamic Improvement via Augmentation:  </w:t>
      </w:r>
      <w:r>
        <w:rPr>
          <w:i w:val="0"/>
          <w:sz w:val="22"/>
        </w:rPr>
        <w:t>Physics-consistent synthetic data augmentation improves CD prediction from R² = 0.700 to R² = 0.991 — a 41% variance reduction — and CL prediction from R² = 0.956 to R² = 0.998. This demonstrates the transformative power of domain-informed data augmentation for sparse engineering datasets.</w:t>
      </w:r>
    </w:p>
    <w:p>
      <w:pPr>
        <w:ind w:left="288" w:hanging="288"/>
        <w:jc w:val="both"/>
        <w:spacing w:before="40" w:after="40"/>
      </w:pPr>
      <w:r>
        <w:rPr>
          <w:b/>
          <w:sz w:val="22"/>
        </w:rPr>
        <w:t xml:space="preserve">✓ Production-Ready Inverse Control:  </w:t>
      </w:r>
      <w:r>
        <w:rPr>
          <w:i w:val="0"/>
          <w:sz w:val="22"/>
        </w:rPr>
        <w:t>A two-stage grid-search + L-BFGS-B inverse algorithm is implemented that recommends MFC voltage pairs for any user-specified CL target, with optional CD constraints, achieving CL tracking error &lt; 0.001 at pitch = 8° across all tested setpoints.</w:t>
      </w:r>
    </w:p>
    <w:p>
      <w:pPr>
        <w:ind w:left="288" w:hanging="288"/>
        <w:jc w:val="both"/>
        <w:spacing w:before="40" w:after="40"/>
      </w:pPr>
      <w:r>
        <w:rPr>
          <w:b/>
          <w:sz w:val="22"/>
        </w:rPr>
        <w:t xml:space="preserve">✓ Comprehensive Validation:  </w:t>
      </w:r>
      <w:r>
        <w:rPr>
          <w:i w:val="0"/>
          <w:sz w:val="22"/>
        </w:rPr>
        <w:t>All surrogates are validated on real CFD and FEA data (never seen during training), with end-to-end chained pipeline performance of CL MAE = 0.0022 and CD MAE = 0.0021 across 201 CFD validation points — both within the ±0.005 engineering acceptability threshold.</w:t>
      </w:r>
    </w:p>
    <w:p>
      <w:pPr>
        <w:ind w:left="288" w:hanging="288"/>
        <w:jc w:val="both"/>
        <w:spacing w:before="40" w:after="40"/>
      </w:pPr>
      <w:r>
        <w:rPr>
          <w:b/>
          <w:sz w:val="22"/>
        </w:rPr>
        <w:t xml:space="preserve">✓ 10 Publication-Quality Figures:  </w:t>
      </w:r>
      <w:r>
        <w:rPr>
          <w:i w:val="0"/>
          <w:sz w:val="22"/>
        </w:rPr>
        <w:t>A complete set of publication-quality visualization figures is generated, covering data coverage, parity plots, residual distributions, aerodynamic characterization, error analysis, and inverse control demonstrations, suitable for inclusion in conference proceedings or journal publications.</w:t>
      </w:r>
    </w:p>
    <w:p>
      <w:pPr>
        <w:pStyle w:val="Heading2"/>
        <w:jc w:val="left"/>
      </w:pPr>
      <w:r>
        <w:rPr>
          <w:color w:val="1A5C9C"/>
          <w:sz w:val="26"/>
        </w:rPr>
        <w:t>10.2 Recommendations for Future Work</w:t>
      </w:r>
    </w:p>
    <w:p>
      <w:pPr>
        <w:ind w:firstLine="360"/>
        <w:jc w:val="both"/>
        <w:spacing w:before="40" w:after="60"/>
      </w:pPr>
      <w:r>
        <w:rPr>
          <w:sz w:val="22"/>
        </w:rPr>
        <w:t>The surrogate framework is ready for Phase 2.2 experimental validation and provides a solid computational foundation for the next stages of the IDP project. The following recommendations are made for extending and validating the framework:</w:t>
      </w:r>
    </w:p>
    <w:p>
      <w:pPr>
        <w:ind w:left="288" w:hanging="288"/>
        <w:jc w:val="both"/>
        <w:spacing w:before="35" w:after="35"/>
      </w:pPr>
      <w:r>
        <w:rPr>
          <w:b/>
          <w:sz w:val="22"/>
        </w:rPr>
        <w:t xml:space="preserve">→ Experimental prototype fabrication:  </w:t>
      </w:r>
      <w:r>
        <w:rPr>
          <w:i w:val="0"/>
          <w:sz w:val="22"/>
        </w:rPr>
        <w:t>Fabricate the MFC-actuated NACA 0009 wing prototype with embedded deflection sensors (e.g., strain gauges or DIC markers) to enable direct validation of the structural surrogate predictions against physical measurements.</w:t>
      </w:r>
    </w:p>
    <w:p>
      <w:pPr>
        <w:ind w:left="288" w:hanging="288"/>
        <w:jc w:val="both"/>
        <w:spacing w:before="35" w:after="35"/>
      </w:pPr>
      <w:r>
        <w:rPr>
          <w:b/>
          <w:sz w:val="22"/>
        </w:rPr>
        <w:t xml:space="preserve">→ Wind-tunnel testing campaign:  </w:t>
      </w:r>
      <w:r>
        <w:rPr>
          <w:i w:val="0"/>
          <w:sz w:val="22"/>
        </w:rPr>
        <w:t>Conduct a systematic wind-tunnel test campaign at matching Reynolds number, pitch angles, and voltage levels to validate the aerodynamic surrogate. Target a validation accuracy of ±0.005 CL error against the surrogate predictions. Focus additional test cases at α = ±4° and 20° where surrogate errors are largest.</w:t>
      </w:r>
    </w:p>
    <w:p>
      <w:pPr>
        <w:ind w:left="288" w:hanging="288"/>
        <w:jc w:val="both"/>
        <w:spacing w:before="35" w:after="35"/>
      </w:pPr>
      <w:r>
        <w:rPr>
          <w:b/>
          <w:sz w:val="22"/>
        </w:rPr>
        <w:t xml:space="preserve">→ Reynolds number generalization:  </w:t>
      </w:r>
      <w:r>
        <w:rPr>
          <w:i w:val="0"/>
          <w:sz w:val="22"/>
        </w:rPr>
        <w:t>Include Re as an explicit model input and retrain the aerodynamic surrogate on CFD data spanning Re ∈ [2 × 10⁵, 5 × 10⁵]. This will dramatically broaden the framework's applicability across different flight speeds and wing sizes.</w:t>
      </w:r>
    </w:p>
    <w:p>
      <w:pPr>
        <w:ind w:left="288" w:hanging="288"/>
        <w:jc w:val="both"/>
        <w:spacing w:before="35" w:after="35"/>
      </w:pPr>
      <w:r>
        <w:rPr>
          <w:b/>
          <w:sz w:val="22"/>
        </w:rPr>
        <w:t xml:space="preserve">→ Additional CFD at intermediate upper voltages:  </w:t>
      </w:r>
      <w:r>
        <w:rPr>
          <w:i w:val="0"/>
          <w:sz w:val="22"/>
        </w:rPr>
        <w:t>Add CFD runs at V_upper = 400 V and 1100 V (currently unsampled) to reduce the extrapolation risk in the augmented aerodynamic training data and validate the augmentation strategy's accuracy at intermediate voltage levels.</w:t>
      </w:r>
    </w:p>
    <w:p>
      <w:pPr>
        <w:ind w:left="288" w:hanging="288"/>
        <w:jc w:val="both"/>
        <w:spacing w:before="35" w:after="35"/>
      </w:pPr>
      <w:r>
        <w:rPr>
          <w:b/>
          <w:sz w:val="22"/>
        </w:rPr>
        <w:t xml:space="preserve">→ Closed-loop stability analysis:  </w:t>
      </w:r>
      <w:r>
        <w:rPr>
          <w:i w:val="0"/>
          <w:sz w:val="22"/>
        </w:rPr>
        <w:t>Integrate the surrogate framework into a closed-loop pitch-rate control simulation to assess stability margins and response times. Implement a simple proportional controller using the inverse voltage algorithm as the control law, and evaluate tracking performance under simulated wind gusts.</w:t>
      </w:r>
    </w:p>
    <w:p>
      <w:pPr>
        <w:ind w:left="288" w:hanging="288"/>
        <w:jc w:val="both"/>
        <w:spacing w:before="35" w:after="35"/>
      </w:pPr>
      <w:r>
        <w:rPr>
          <w:b/>
          <w:sz w:val="22"/>
        </w:rPr>
        <w:t xml:space="preserve">→ Unsteady aerodynamic extensions:  </w:t>
      </w:r>
      <w:r>
        <w:rPr>
          <w:i w:val="0"/>
          <w:sz w:val="22"/>
        </w:rPr>
        <w:t>Develop an unsteady aerodynamic surrogate (e.g., using recurrent neural networks or physics-informed approaches) to capture dynamic effects such as pitch oscillations and gust response — essential for realistic flight control applications.</w:t>
      </w:r>
    </w:p>
    <w:p>
      <w:pPr>
        <w:ind w:left="288" w:hanging="288"/>
        <w:jc w:val="both"/>
        <w:spacing w:before="35" w:after="35"/>
      </w:pPr>
      <w:r>
        <w:rPr>
          <w:b/>
          <w:sz w:val="22"/>
        </w:rPr>
        <w:t xml:space="preserve">→ 3D aerodynamic effects:  </w:t>
      </w:r>
      <w:r>
        <w:rPr>
          <w:i w:val="0"/>
          <w:sz w:val="22"/>
        </w:rPr>
        <w:t>Extend the CFD dataset to include 3D wing simulations at multiple spanwise morphing profiles to capture tip vortex effects and spanwise variation in aerodynamic coefficients, which are absent from the current 2D-based surrogate.</w:t>
      </w:r>
    </w:p>
    <w:p>
      <w:pPr>
        <w:pStyle w:val="Heading2"/>
        <w:jc w:val="left"/>
      </w:pPr>
      <w:r>
        <w:rPr>
          <w:color w:val="1A5C9C"/>
          <w:sz w:val="26"/>
        </w:rPr>
        <w:t>10.3 Closing Statement</w:t>
      </w:r>
    </w:p>
    <w:p>
      <w:pPr>
        <w:ind w:firstLine="360"/>
        <w:jc w:val="both"/>
        <w:spacing w:before="40" w:after="60"/>
      </w:pPr>
      <w:r>
        <w:rPr>
          <w:sz w:val="22"/>
        </w:rPr>
        <w:t>The data-driven ML surrogate framework presented in this report demonstrates the technical feasibility and engineering effectiveness of machine learning as a computational tool for morphing wing aerodynamics and control. By combining physics-informed data decomposition, synthetic augmentation, and efficient inverse optimization, the framework achieves engineering-grade accuracy at millisecond inference speeds — several orders of magnitude faster than the high-fidelity FEA and CFD simulations it replaces.</w:t>
      </w:r>
    </w:p>
    <w:p>
      <w:pPr>
        <w:ind w:firstLine="360"/>
        <w:jc w:val="both"/>
        <w:spacing w:before="40" w:after="60"/>
      </w:pPr>
      <w:r>
        <w:rPr>
          <w:sz w:val="22"/>
        </w:rPr>
        <w:t>The framework's modular, well-documented design makes it readily extensible to incorporate additional data sources (experimental measurements, 3D CFD, unsteady simulations) and additional control objectives (roll, yaw, aeroelastic load alleviation) as the IDP project progresses toward experimental demonstration. All code, trained models, and validation data are archived in the project repository and are available for reproduction and extension by future project teams.</w:t>
      </w:r>
    </w:p>
    <w:p>
      <w:pPr>
        <w:ind w:firstLine="360"/>
        <w:jc w:val="both"/>
        <w:spacing w:before="40" w:after="60"/>
      </w:pPr>
      <w:r>
        <w:rPr>
          <w:sz w:val="22"/>
        </w:rPr>
        <w:t>This framework is ready for integration with the experimental Phase 2.2 hardware validation campaign and constitutes a significant step toward the goal of real-time, data-driven adaptive morphing wing control for next-generation aerospace systems.</w:t>
      </w:r>
    </w:p>
    <w:p>
      <w:pPr>
        <w:pBdr>
          <w:bottom w:val="single" w:sz="6" w:space="1" w:color="2C3E7A"/>
        </w:pBdr>
        <w:spacing w:before="80" w:after="80"/>
      </w:pPr>
    </w:p>
    <w:p>
      <w:pPr>
        <w:jc w:val="center"/>
      </w:pPr>
      <w:r>
        <w:rPr>
          <w:i/>
          <w:color w:val="555555"/>
          <w:sz w:val="20"/>
        </w:rPr>
        <w:t>End of Technical Report — IDP Phase 2 | RV College of Engineering | June 24,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