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We can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r>
        <w:drawing>
          <wp:inline>
            <wp:extent cx="5334000" cy="2480930"/>
            <wp:effectExtent b="0" l="0" r="0" t="0"/>
            <wp:docPr descr=""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r>
        <w:drawing>
          <wp:inline>
            <wp:extent cx="5334000" cy="2534694"/>
            <wp:effectExtent b="0" l="0" r="0" t="0"/>
            <wp:docPr descr=""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r>
        <w:drawing>
          <wp:inline>
            <wp:extent cx="5334000" cy="2508496"/>
            <wp:effectExtent b="0" l="0" r="0" t="0"/>
            <wp:docPr descr=""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r>
        <w:drawing>
          <wp:inline>
            <wp:extent cx="5334000" cy="2437206"/>
            <wp:effectExtent b="0" l="0" r="0" t="0"/>
            <wp:docPr descr=""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BodyText"/>
      </w:pPr>
      <w:r>
        <w:t xml:space="preserve">We saw how to use appropriate gridlines above. We can add bolding to our header row to make it stand out even more. Again, we do this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r>
        <w:drawing>
          <wp:inline>
            <wp:extent cx="5334000" cy="2508496"/>
            <wp:effectExtent b="0" l="0" r="0" t="0"/>
            <wp:docPr descr=""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r>
        <w:drawing>
          <wp:inline>
            <wp:extent cx="5334000" cy="2534694"/>
            <wp:effectExtent b="0" l="0" r="0" t="0"/>
            <wp:docPr descr=""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VerbatimChar"/>
        </w:rPr>
        <w:t xml:space="preserve">#&gt; # A tibble: 5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r>
        <w:br/>
      </w:r>
      <w:r>
        <w:rPr>
          <w:rStyle w:val="VerbatimChar"/>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r>
        <w:drawing>
          <wp:inline>
            <wp:extent cx="5334000" cy="2431676"/>
            <wp:effectExtent b="0" l="0" r="0" t="0"/>
            <wp:docPr descr=""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r>
        <w:drawing>
          <wp:inline>
            <wp:extent cx="5334000" cy="2431676"/>
            <wp:effectExtent b="0" l="0" r="0" t="0"/>
            <wp:docPr descr=""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r>
        <w:drawing>
          <wp:inline>
            <wp:extent cx="5334000" cy="3246782"/>
            <wp:effectExtent b="0" l="0" r="0" t="0"/>
            <wp:docPr descr=""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p>
    <w:p>
      <w:pPr>
        <w:pStyle w:val="FirstParagraph"/>
      </w:pPr>
      <w:r>
        <w:t xml:space="preserve">We then repeat this same code for 1972 and 1992, with the result shown below.</w:t>
      </w:r>
    </w:p>
    <w:p>
      <w:pPr>
        <w:pStyle w:val="BodyText"/>
      </w:pPr>
      <w:r>
        <w:t xml:space="preserve">[F05010.png]</w:t>
      </w:r>
      <w:r>
        <w:drawing>
          <wp:inline>
            <wp:extent cx="5334000" cy="3111500"/>
            <wp:effectExtent b="0" l="0" r="0" t="0"/>
            <wp:docPr desc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w:t>
      </w:r>
      <w:r>
        <w:t xml:space="preserve"> </w:t>
      </w:r>
      <w:r>
        <w:t xml:space="preserve">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user to see the trend for each country at a glance.</w:t>
      </w:r>
    </w:p>
    <w:p>
      <w:pPr>
        <w:pStyle w:val="BodyText"/>
      </w:pPr>
      <w:r>
        <w:t xml:space="preserve">[F05011.png]</w:t>
      </w:r>
      <w:r>
        <w:drawing>
          <wp:inline>
            <wp:extent cx="5334000" cy="2410087"/>
            <wp:effectExtent b="0" l="0" r="0" t="0"/>
            <wp:docPr descr=""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r>
        <w:drawing>
          <wp:inline>
            <wp:extent cx="5334000" cy="1638821"/>
            <wp:effectExtent b="0" l="0" r="0" t="0"/>
            <wp:docPr descr=""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packages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Working within R, the tool you’re already using to create your reports (especially if you’re using RMarkdown, a tool we discuss in</w:t>
      </w:r>
      <w:r>
        <w:t xml:space="preserve"> </w:t>
      </w:r>
      <w:r>
        <w:t xml:space="preserve">6</w:t>
      </w:r>
      <w:r>
        <w:t xml:space="preserve">), you make publication-ready tables with just a few lines of code.</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2022-11-08T19:33:04Z</dcterms:created>
  <dcterms:modified xsi:type="dcterms:W3CDTF">2022-11-08T19:33:04Z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