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Document Extraction Results</w:t>
      </w:r>
    </w:p>
    <w:p/>
    <w:tbl>
      <w:tblPr>
        <w:tblStyle w:val="TableGrid"/>
        <w:tblW w:type="auto" w:w="0"/>
        <w:tblLook w:firstColumn="1" w:firstRow="1" w:lastColumn="0" w:lastRow="0" w:noHBand="0" w:noVBand="1" w:val="04A0"/>
      </w:tblPr>
      <w:tblGrid>
        <w:gridCol w:w="4320"/>
        <w:gridCol w:w="4320"/>
      </w:tblGrid>
      <w:tr>
        <w:tc>
          <w:tcPr>
            <w:tcW w:type="dxa" w:w="2880"/>
          </w:tcPr>
          <w:p>
            <w:r>
              <w:rPr>
                <w:b/>
                <w:sz w:val="22"/>
              </w:rPr>
              <w:t>Field</w:t>
            </w:r>
          </w:p>
        </w:tc>
        <w:tc>
          <w:tcPr>
            <w:tcW w:type="dxa" w:w="6480"/>
          </w:tcPr>
          <w:p>
            <w:r>
              <w:rPr>
                <w:b/>
                <w:sz w:val="22"/>
              </w:rPr>
              <w:t>Value</w:t>
            </w:r>
          </w:p>
        </w:tc>
      </w:tr>
      <w:tr>
        <w:tc>
          <w:tcPr>
            <w:tcW w:type="dxa" w:w="2880"/>
          </w:tcPr>
          <w:p>
            <w:r>
              <w:rPr>
                <w:b/>
              </w:rPr>
              <w:t>Property Address</w:t>
            </w:r>
          </w:p>
        </w:tc>
        <w:tc>
          <w:tcPr>
            <w:tcW w:type="dxa" w:w="6480"/>
          </w:tcPr>
          <w:p>
            <w:r>
              <w:t>- 47 Erie St, Cambridge, MA 02139</w:t>
              <w:br/>
              <w:t>- 200 Sidney Street, Cambridge, MA</w:t>
              <w:br/>
              <w:t>- 40 Erie Street, Cambridge, MA</w:t>
              <w:br/>
              <w:t>- 270 Albany Street, Cambridge, MA</w:t>
            </w:r>
          </w:p>
        </w:tc>
      </w:tr>
      <w:tr>
        <w:tc>
          <w:tcPr>
            <w:tcW w:type="dxa" w:w="2880"/>
          </w:tcPr>
          <w:p>
            <w:r>
              <w:rPr>
                <w:b/>
              </w:rPr>
              <w:t>Premises</w:t>
            </w:r>
          </w:p>
        </w:tc>
        <w:tc>
          <w:tcPr>
            <w:tcW w:type="dxa" w:w="6480"/>
          </w:tcPr>
          <w:p>
            <w:r>
              <w:t>The leased premises are described as follows:</w:t>
              <w:br/>
              <w:br/>
              <w:t>1. The Tenant leases approximately 43,090 rentable square feet in total, which includes 7,728 square feet in the basement and 35,362 square feet on the second (2nd) floor of the Building located at 200 Sidney Street, Cambridge, Massachusetts.</w:t>
              <w:br/>
              <w:br/>
              <w:t>2. The premises include exclusive shafts, cable runs, mechanical spaces, and rooftop areas, but explicitly do not include the Control Areas and Rooftop Installation Area depicted on Exhibit A.</w:t>
              <w:br/>
              <w:br/>
              <w:t>3. The premises are to be used for office and laboratory purposes in compliance with all applicable laws and regulations.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