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C85194" w14:textId="14F596BE" w:rsidR="00F54D8F" w:rsidRDefault="00000000">
      <w:pPr>
        <w:jc w:val="center"/>
        <w:rPr>
          <w:lang w:eastAsia="zh-CN"/>
        </w:rPr>
      </w:pPr>
      <w:r>
        <w:rPr>
          <w:rFonts w:ascii="SimHei" w:eastAsia="SimHei" w:hAnsi="SimHei"/>
          <w:b/>
          <w:sz w:val="40"/>
          <w:lang w:eastAsia="zh-CN"/>
        </w:rPr>
        <w:t>v6 E</w:t>
      </w:r>
      <w:r w:rsidR="0082456E">
        <w:rPr>
          <w:rFonts w:ascii="SimHei" w:eastAsia="SimHei" w:hAnsi="SimHei" w:hint="eastAsia"/>
          <w:b/>
          <w:sz w:val="40"/>
          <w:lang w:eastAsia="zh-CN"/>
        </w:rPr>
        <w:t>TF轮动</w:t>
      </w:r>
      <w:r>
        <w:rPr>
          <w:rFonts w:ascii="SimHei" w:eastAsia="SimHei" w:hAnsi="SimHei"/>
          <w:b/>
          <w:sz w:val="40"/>
          <w:lang w:eastAsia="zh-CN"/>
        </w:rPr>
        <w:t>策略研究报告</w:t>
      </w:r>
    </w:p>
    <w:p w14:paraId="5DEE828A" w14:textId="77777777" w:rsidR="00F54D8F" w:rsidRDefault="00000000">
      <w:pPr>
        <w:jc w:val="center"/>
        <w:rPr>
          <w:lang w:eastAsia="zh-CN"/>
        </w:rPr>
      </w:pPr>
      <w:r>
        <w:rPr>
          <w:rFonts w:eastAsia="SimSun"/>
          <w:color w:val="555555"/>
          <w:sz w:val="24"/>
          <w:lang w:eastAsia="zh-CN"/>
        </w:rPr>
        <w:t>——池子构建、Alpha 因子筛选、波动率反比配权与迟滞（hysteresis）调仓</w:t>
      </w:r>
    </w:p>
    <w:p w14:paraId="2212D7EE" w14:textId="77777777" w:rsidR="00F54D8F" w:rsidRDefault="00000000">
      <w:pPr>
        <w:jc w:val="center"/>
        <w:rPr>
          <w:lang w:eastAsia="zh-CN"/>
        </w:rPr>
      </w:pPr>
      <w:r>
        <w:rPr>
          <w:rFonts w:eastAsia="SimSun"/>
          <w:color w:val="888888"/>
          <w:sz w:val="20"/>
          <w:lang w:eastAsia="zh-CN"/>
        </w:rPr>
        <w:t>报告日期：2026-07-21    ·    样本内 2018-06-01 → 2023-12-31    ·    样本外 2024-01-01 → 2025-07-31</w:t>
      </w:r>
    </w:p>
    <w:p w14:paraId="47F2793C" w14:textId="77777777" w:rsidR="00F54D8F" w:rsidRDefault="00F54D8F">
      <w:pPr>
        <w:rPr>
          <w:lang w:eastAsia="zh-CN"/>
        </w:rPr>
      </w:pPr>
    </w:p>
    <w:p w14:paraId="3C21E058" w14:textId="77777777" w:rsidR="00F54D8F" w:rsidRDefault="00000000">
      <w:pPr>
        <w:pStyle w:val="Heading1"/>
        <w:rPr>
          <w:lang w:eastAsia="zh-CN"/>
        </w:rPr>
      </w:pPr>
      <w:r>
        <w:rPr>
          <w:rFonts w:ascii="SimHei" w:eastAsia="SimHei" w:hAnsi="SimHei"/>
          <w:lang w:eastAsia="zh-CN"/>
        </w:rPr>
        <w:t>摘要</w:t>
      </w:r>
    </w:p>
    <w:p w14:paraId="7AA858DF" w14:textId="77777777" w:rsidR="00F54D8F" w:rsidRDefault="00000000">
      <w:pPr>
        <w:spacing w:after="80" w:line="336" w:lineRule="auto"/>
        <w:ind w:firstLine="454"/>
        <w:rPr>
          <w:lang w:eastAsia="zh-CN"/>
        </w:rPr>
      </w:pPr>
      <w:r>
        <w:rPr>
          <w:rFonts w:eastAsia="SimSun"/>
          <w:lang w:eastAsia="zh-CN"/>
        </w:rPr>
        <w:t>本报告完整梳理 v6 ETF 池化策略从数据采集、池子构建、Alpha 因子筛选与集成、调仓规则设计，到最终净值回测的全链路。基础方案（baseline）为三个不同分位阈值（Top 5% / Top 10% / Top 20%）的纯多头组合，权重按波动率反比（1/</w:t>
      </w:r>
      <w:r>
        <w:rPr>
          <w:rFonts w:eastAsia="SimSun"/>
        </w:rPr>
        <w:t>σ</w:t>
      </w:r>
      <w:r>
        <w:rPr>
          <w:rFonts w:eastAsia="SimSun"/>
          <w:lang w:eastAsia="zh-CN"/>
        </w:rPr>
        <w:t>）配比。在此基础上，进一步引入围绕选股边界的迟滞机制（rank hysteresis），在几乎不损失毛收益的前提下明显压低了周度调仓所导致的交易成本，同时在样本外窗口取得更好的净夏普。</w:t>
      </w:r>
    </w:p>
    <w:p w14:paraId="2766591A" w14:textId="465B6FEA" w:rsidR="00F54D8F" w:rsidRDefault="00000000">
      <w:pPr>
        <w:spacing w:after="80" w:line="336" w:lineRule="auto"/>
        <w:ind w:firstLine="454"/>
        <w:rPr>
          <w:lang w:eastAsia="zh-CN"/>
        </w:rPr>
      </w:pPr>
      <w:r>
        <w:rPr>
          <w:rFonts w:eastAsia="SimSun"/>
          <w:lang w:eastAsia="zh-CN"/>
        </w:rPr>
        <w:t xml:space="preserve">全部指标均在 10bp/边的换手成本假设下计算，报告中所有夏普、CAGR、回撤均为“净”值（即扣除成本后的口径）。为了给夏普的绝对数值一个锚点，报告还引入了旧版本（15 只 ETF 固定池子，权重按 </w:t>
      </w:r>
      <w:r>
        <w:rPr>
          <w:rFonts w:eastAsia="SimSun"/>
        </w:rPr>
        <w:t>α</w:t>
      </w:r>
      <w:r>
        <w:rPr>
          <w:rFonts w:eastAsia="SimSun"/>
          <w:lang w:eastAsia="zh-CN"/>
        </w:rPr>
        <w:t xml:space="preserve"> 比例）的 baseline 作参照，用以量化“把池子扩容到 344 只 + 用 1/</w:t>
      </w:r>
      <w:r>
        <w:rPr>
          <w:rFonts w:eastAsia="SimSun"/>
        </w:rPr>
        <w:t>σ</w:t>
      </w:r>
      <w:r>
        <w:rPr>
          <w:rFonts w:eastAsia="SimSun"/>
          <w:lang w:eastAsia="zh-CN"/>
        </w:rPr>
        <w:t xml:space="preserve"> 权重 + 加入迟滞”这一整套改造对策略表现的边际贡献。</w:t>
      </w:r>
    </w:p>
    <w:p w14:paraId="1C74F81D" w14:textId="77777777" w:rsidR="00F54D8F" w:rsidRDefault="00000000">
      <w:pPr>
        <w:pStyle w:val="Heading1"/>
        <w:rPr>
          <w:lang w:eastAsia="zh-CN"/>
        </w:rPr>
      </w:pPr>
      <w:r>
        <w:rPr>
          <w:rFonts w:ascii="SimHei" w:eastAsia="SimHei" w:hAnsi="SimHei"/>
          <w:lang w:eastAsia="zh-CN"/>
        </w:rPr>
        <w:t>一、ETF 池子的构建</w:t>
      </w:r>
    </w:p>
    <w:p w14:paraId="4E5F36D1" w14:textId="77777777" w:rsidR="00F54D8F" w:rsidRDefault="00000000">
      <w:pPr>
        <w:pStyle w:val="Heading2"/>
        <w:rPr>
          <w:lang w:eastAsia="zh-CN"/>
        </w:rPr>
      </w:pPr>
      <w:r>
        <w:rPr>
          <w:rFonts w:ascii="SimHei" w:eastAsia="SimHei" w:hAnsi="SimHei"/>
          <w:lang w:eastAsia="zh-CN"/>
        </w:rPr>
        <w:t>1.1 原始目录与价量数据采集</w:t>
      </w:r>
    </w:p>
    <w:p w14:paraId="35C6D84D" w14:textId="77777777" w:rsidR="00F54D8F" w:rsidRDefault="00000000">
      <w:pPr>
        <w:spacing w:after="80" w:line="336" w:lineRule="auto"/>
        <w:ind w:firstLine="454"/>
        <w:rPr>
          <w:lang w:eastAsia="zh-CN"/>
        </w:rPr>
      </w:pPr>
      <w:r>
        <w:rPr>
          <w:rFonts w:eastAsia="SimSun"/>
          <w:lang w:eastAsia="zh-CN"/>
        </w:rPr>
        <w:t>池子的起点是交易所全量 ETF 目录。通过 rqdatac 的 all_instruments(type="ETF") 接口，从上交所（XSHG）和深交所（XSHE）拉取全部 ETF，排除货币市场基金；剔除缺失上市日期、缺失跟踪指数或 AUM 为零的记录后，共得到 1,703 只候选 ETF，写入catalogue.csv 作为原始目录。</w:t>
      </w:r>
    </w:p>
    <w:p w14:paraId="2864DCCA" w14:textId="77777777" w:rsidR="00F54D8F" w:rsidRDefault="00000000">
      <w:pPr>
        <w:spacing w:after="80" w:line="336" w:lineRule="auto"/>
        <w:ind w:firstLine="454"/>
        <w:rPr>
          <w:lang w:eastAsia="zh-CN"/>
        </w:rPr>
      </w:pPr>
      <w:r>
        <w:rPr>
          <w:rFonts w:eastAsia="SimSun"/>
          <w:lang w:eastAsia="zh-CN"/>
        </w:rPr>
        <w:t>对目录内所有 1,688 只有价格数据的 ETF，从 max(list_date, 2018-06-01) 起至今，拉取日线 OHLCV 与成交额，共约 131 万行数据，覆盖 1,972 个交易日。由于历史份额数据不可直接获取，AUM 采用当前快照（latest_size）向历史广播，仅作为“当前可交易性”的辅助过滤，实际起主导作用的是日均成交额（ADV）过滤。</w:t>
      </w:r>
    </w:p>
    <w:p w14:paraId="4076EA8E" w14:textId="77777777" w:rsidR="00F54D8F" w:rsidRDefault="00000000">
      <w:pPr>
        <w:spacing w:after="80" w:line="336" w:lineRule="auto"/>
        <w:ind w:firstLine="454"/>
        <w:rPr>
          <w:lang w:eastAsia="zh-CN"/>
        </w:rPr>
      </w:pPr>
      <w:r>
        <w:rPr>
          <w:rFonts w:eastAsia="SimSun"/>
          <w:lang w:eastAsia="zh-CN"/>
        </w:rPr>
        <w:t>按基金类型分类，权益指数型 ETF 占绝对多数（86.8%），其次是 QDII（5.2%）、债券指数（3.6%）以及少量主动股票型和其他类别。累计入池比例上，QDII 与债券指数 ETF 的入池率明显高于股票指数 ETF——前者往往集中在少数龙头产品，更容易同时满足流动性与规模门槛。</w:t>
      </w:r>
    </w:p>
    <w:p w14:paraId="2D1113C4" w14:textId="77777777" w:rsidR="00F54D8F" w:rsidRDefault="00000000">
      <w:pPr>
        <w:jc w:val="center"/>
      </w:pPr>
      <w:r>
        <w:rPr>
          <w:noProof/>
        </w:rPr>
        <w:lastRenderedPageBreak/>
        <w:drawing>
          <wp:inline distT="0" distB="0" distL="0" distR="0" wp14:anchorId="70F83BB1" wp14:editId="7E16EA2F">
            <wp:extent cx="5580000" cy="2467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fundtype.png"/>
                    <pic:cNvPicPr/>
                  </pic:nvPicPr>
                  <pic:blipFill>
                    <a:blip r:embed="rId6"/>
                    <a:stretch>
                      <a:fillRect/>
                    </a:stretch>
                  </pic:blipFill>
                  <pic:spPr>
                    <a:xfrm>
                      <a:off x="0" y="0"/>
                      <a:ext cx="5580000" cy="2467347"/>
                    </a:xfrm>
                    <a:prstGeom prst="rect">
                      <a:avLst/>
                    </a:prstGeom>
                  </pic:spPr>
                </pic:pic>
              </a:graphicData>
            </a:graphic>
          </wp:inline>
        </w:drawing>
      </w:r>
    </w:p>
    <w:p w14:paraId="0330194D" w14:textId="77777777" w:rsidR="00F54D8F" w:rsidRDefault="00000000">
      <w:pPr>
        <w:jc w:val="center"/>
        <w:rPr>
          <w:lang w:eastAsia="zh-CN"/>
        </w:rPr>
      </w:pPr>
      <w:r>
        <w:rPr>
          <w:rFonts w:eastAsia="SimSun"/>
          <w:color w:val="666666"/>
          <w:sz w:val="18"/>
          <w:lang w:eastAsia="zh-CN"/>
        </w:rPr>
        <w:t>图 1  原始目录 ETF 类型分布与各类型累计入池率</w:t>
      </w:r>
    </w:p>
    <w:p w14:paraId="6747634E" w14:textId="77777777" w:rsidR="00F54D8F" w:rsidRDefault="00000000">
      <w:pPr>
        <w:pStyle w:val="Heading2"/>
        <w:rPr>
          <w:lang w:eastAsia="zh-CN"/>
        </w:rPr>
      </w:pPr>
      <w:r>
        <w:rPr>
          <w:rFonts w:ascii="SimHei" w:eastAsia="SimHei" w:hAnsi="SimHei"/>
          <w:lang w:eastAsia="zh-CN"/>
        </w:rPr>
        <w:t>1.2 池子准入规则</w:t>
      </w:r>
    </w:p>
    <w:p w14:paraId="38B99A5B" w14:textId="77777777" w:rsidR="00F54D8F" w:rsidRDefault="00000000">
      <w:pPr>
        <w:spacing w:after="80" w:line="336" w:lineRule="auto"/>
        <w:ind w:firstLine="454"/>
        <w:rPr>
          <w:lang w:eastAsia="zh-CN"/>
        </w:rPr>
      </w:pPr>
      <w:r>
        <w:rPr>
          <w:rFonts w:eastAsia="SimSun"/>
          <w:lang w:eastAsia="zh-CN"/>
        </w:rPr>
        <w:t>池子的成员资格逐日评估，然后滞后一日搬到周度 W-FRI 调仓日，以确保任何进入都不会“隔天生效”。规则由以下五道门组成：</w:t>
      </w:r>
    </w:p>
    <w:p w14:paraId="43635892" w14:textId="77777777" w:rsidR="00F54D8F" w:rsidRDefault="00000000">
      <w:pPr>
        <w:pStyle w:val="ListBullet"/>
        <w:spacing w:after="40" w:line="312" w:lineRule="auto"/>
        <w:rPr>
          <w:lang w:eastAsia="zh-CN"/>
        </w:rPr>
      </w:pPr>
      <w:r>
        <w:rPr>
          <w:rFonts w:eastAsia="SimSun"/>
          <w:lang w:eastAsia="zh-CN"/>
        </w:rPr>
        <w:t>熟化期（seasoning）：上市日起 26 个周度调仓周期内不予纳入，与后续扩展 z-score 及 26 周因果波动率窗口所需的历史长度对齐。</w:t>
      </w:r>
    </w:p>
    <w:p w14:paraId="5549A5C4" w14:textId="77777777" w:rsidR="00F54D8F" w:rsidRDefault="00000000">
      <w:pPr>
        <w:pStyle w:val="ListBullet"/>
        <w:spacing w:after="40" w:line="312" w:lineRule="auto"/>
        <w:rPr>
          <w:lang w:eastAsia="zh-CN"/>
        </w:rPr>
      </w:pPr>
      <w:r>
        <w:rPr>
          <w:rFonts w:eastAsia="SimSun"/>
          <w:lang w:eastAsia="zh-CN"/>
        </w:rPr>
        <w:t>绝对流动性门槛（含 2:1 迟滞）：60 日中位数成交额 ADV 需 ≥ 2000 万元才可进入，只有降至 1000 万元以下才会剔除；这道过滤本身构成了一次“hysteresis”，有效防止边界震荡。</w:t>
      </w:r>
    </w:p>
    <w:p w14:paraId="05692A0C" w14:textId="77777777" w:rsidR="00F54D8F" w:rsidRDefault="00000000">
      <w:pPr>
        <w:pStyle w:val="ListBullet"/>
        <w:spacing w:after="40" w:line="312" w:lineRule="auto"/>
        <w:rPr>
          <w:lang w:eastAsia="zh-CN"/>
        </w:rPr>
      </w:pPr>
      <w:r>
        <w:rPr>
          <w:rFonts w:eastAsia="SimSun"/>
          <w:lang w:eastAsia="zh-CN"/>
        </w:rPr>
        <w:t>AUM 门槛（含迟滞）：latest_size ≥ 2 亿元进入、跌破 1 亿元退出。由于 AUM 无法逐日拉取，这道门槛更多用于当前可交易性判断。</w:t>
      </w:r>
    </w:p>
    <w:p w14:paraId="2E7EB9AB" w14:textId="77777777" w:rsidR="00F54D8F" w:rsidRDefault="00000000">
      <w:pPr>
        <w:pStyle w:val="ListBullet"/>
        <w:spacing w:after="40" w:line="312" w:lineRule="auto"/>
        <w:rPr>
          <w:lang w:eastAsia="zh-CN"/>
        </w:rPr>
      </w:pPr>
      <w:r>
        <w:rPr>
          <w:rFonts w:eastAsia="SimSun"/>
          <w:lang w:eastAsia="zh-CN"/>
        </w:rPr>
        <w:t>相对分位门槛（含迟滞）：在通过绝对门槛的样本中，ADV 需位居 20% 分位以上才可进入，跌破 15% 分位才会剔除，5 个分位的缓冲带同样是一次迟滞设计。</w:t>
      </w:r>
    </w:p>
    <w:p w14:paraId="4EA5AE83" w14:textId="77777777" w:rsidR="00F54D8F" w:rsidRDefault="00000000">
      <w:pPr>
        <w:pStyle w:val="ListBullet"/>
        <w:spacing w:after="40" w:line="312" w:lineRule="auto"/>
      </w:pPr>
      <w:r>
        <w:rPr>
          <w:rFonts w:eastAsia="SimSun"/>
        </w:rPr>
        <w:t>同指数去重（index dedup）：跟踪同一 underlying_index 的多只 ETF 视为“克隆”，每个基准指数每期只保留 ADV 最高的一只作为代表；已在位的代表需被挑战者 ADV 达到自身 1.25 倍才会被替换（反跷跷板 25% 缓冲）。</w:t>
      </w:r>
    </w:p>
    <w:p w14:paraId="4524A5D1" w14:textId="77777777" w:rsidR="00F54D8F" w:rsidRDefault="00000000">
      <w:pPr>
        <w:spacing w:after="80" w:line="336" w:lineRule="auto"/>
        <w:ind w:firstLine="454"/>
        <w:rPr>
          <w:lang w:eastAsia="zh-CN"/>
        </w:rPr>
      </w:pPr>
      <w:r>
        <w:rPr>
          <w:rFonts w:eastAsia="SimSun"/>
          <w:lang w:eastAsia="zh-CN"/>
        </w:rPr>
        <w:t>所有阈值经校准后冻结：ADV 阈值 2000 万 / 1000 万元；AUM 阈值 2 亿 / 1 亿元；分位阈值 20% / 15%；代表切换缓冲 25%。这套参数使 2019 年末 N ≈ 27（受限于 A 股 ETF 市场早期本身可交易样本数量），2021 年末 N = 89，2023 年末 N = 152，2025 年末 N = 230，2026 年年中 N ≈ 259，累计曾入池代码数 344 个。</w:t>
      </w:r>
    </w:p>
    <w:p w14:paraId="29FA0EAE" w14:textId="77777777" w:rsidR="00F54D8F" w:rsidRDefault="00000000">
      <w:pPr>
        <w:pStyle w:val="Heading2"/>
        <w:rPr>
          <w:lang w:eastAsia="zh-CN"/>
        </w:rPr>
      </w:pPr>
      <w:r>
        <w:rPr>
          <w:rFonts w:ascii="SimHei" w:eastAsia="SimHei" w:hAnsi="SimHei"/>
          <w:lang w:eastAsia="zh-CN"/>
        </w:rPr>
        <w:t>1.3 池子随时间的演化</w:t>
      </w:r>
    </w:p>
    <w:p w14:paraId="7911F52F" w14:textId="77777777" w:rsidR="00F54D8F" w:rsidRDefault="00000000">
      <w:pPr>
        <w:spacing w:after="80" w:line="336" w:lineRule="auto"/>
        <w:ind w:firstLine="454"/>
        <w:rPr>
          <w:lang w:eastAsia="zh-CN"/>
        </w:rPr>
      </w:pPr>
      <w:r>
        <w:rPr>
          <w:rFonts w:eastAsia="SimSun"/>
          <w:lang w:eastAsia="zh-CN"/>
        </w:rPr>
        <w:t>下图展示池子规模 N(t) 随时间的变化。可以看到 2018–2019 年样本极其有限（N ≤ 30），从 2020 年开始随着 A 股 ETF 市场扩容，池子规模稳步抬升；2023 年末达到 152，至 2026 年</w:t>
      </w:r>
      <w:r>
        <w:rPr>
          <w:rFonts w:eastAsia="SimSun"/>
          <w:lang w:eastAsia="zh-CN"/>
        </w:rPr>
        <w:lastRenderedPageBreak/>
        <w:t>年中稳定在 260 左右。红色虚线为样本内窗口截止（2023-12-31），橙色虚线为样本外窗口截止（2025-07-31）。</w:t>
      </w:r>
    </w:p>
    <w:p w14:paraId="40F81352" w14:textId="77777777" w:rsidR="00F54D8F" w:rsidRDefault="00000000">
      <w:pPr>
        <w:jc w:val="center"/>
      </w:pPr>
      <w:r>
        <w:rPr>
          <w:noProof/>
        </w:rPr>
        <w:drawing>
          <wp:inline distT="0" distB="0" distL="0" distR="0" wp14:anchorId="50231B10" wp14:editId="6DD216BE">
            <wp:extent cx="5580000" cy="2964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universe_N.png"/>
                    <pic:cNvPicPr/>
                  </pic:nvPicPr>
                  <pic:blipFill>
                    <a:blip r:embed="rId7"/>
                    <a:stretch>
                      <a:fillRect/>
                    </a:stretch>
                  </pic:blipFill>
                  <pic:spPr>
                    <a:xfrm>
                      <a:off x="0" y="0"/>
                      <a:ext cx="5580000" cy="2964024"/>
                    </a:xfrm>
                    <a:prstGeom prst="rect">
                      <a:avLst/>
                    </a:prstGeom>
                  </pic:spPr>
                </pic:pic>
              </a:graphicData>
            </a:graphic>
          </wp:inline>
        </w:drawing>
      </w:r>
    </w:p>
    <w:p w14:paraId="080A0563" w14:textId="77777777" w:rsidR="00F54D8F" w:rsidRDefault="00000000">
      <w:pPr>
        <w:jc w:val="center"/>
        <w:rPr>
          <w:lang w:eastAsia="zh-CN"/>
        </w:rPr>
      </w:pPr>
      <w:r>
        <w:rPr>
          <w:rFonts w:eastAsia="SimSun"/>
          <w:color w:val="666666"/>
          <w:sz w:val="18"/>
          <w:lang w:eastAsia="zh-CN"/>
        </w:rPr>
        <w:t>图 2  v6 池子规模 N(t) 随时间演化</w:t>
      </w:r>
    </w:p>
    <w:p w14:paraId="037D5D38" w14:textId="77777777" w:rsidR="00F54D8F" w:rsidRDefault="00000000">
      <w:pPr>
        <w:spacing w:after="80" w:line="336" w:lineRule="auto"/>
        <w:ind w:firstLine="454"/>
        <w:rPr>
          <w:lang w:eastAsia="zh-CN"/>
        </w:rPr>
      </w:pPr>
      <w:r>
        <w:rPr>
          <w:rFonts w:eastAsia="SimSun"/>
          <w:lang w:eastAsia="zh-CN"/>
        </w:rPr>
        <w:t>按事件类型分解，可以更清楚地看到池子的“新陈代谢”：绿色为每年新增纳入，红色为剔除（合计，主要来自 ADV 分位门槛），橙色为同指数代表 ETF 的切换。整个样本期没有一只已入池 ETF 因退市而离池，说明流动性过滤本身已过滤掉了潜在退市风险。代表 ETF 切换在 2025–2026 年集中爆发，对应“多发行人扎堆同一热门指数”（标普 500、恒生科技、A500、科创 100 等）的市场现象。</w:t>
      </w:r>
    </w:p>
    <w:p w14:paraId="7B6DCDEF" w14:textId="77777777" w:rsidR="00F54D8F" w:rsidRDefault="00000000">
      <w:pPr>
        <w:jc w:val="center"/>
      </w:pPr>
      <w:r>
        <w:rPr>
          <w:noProof/>
        </w:rPr>
        <w:drawing>
          <wp:inline distT="0" distB="0" distL="0" distR="0" wp14:anchorId="2FBF6060" wp14:editId="5BE1052F">
            <wp:extent cx="5580000" cy="29457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dmissions.png"/>
                    <pic:cNvPicPr/>
                  </pic:nvPicPr>
                  <pic:blipFill>
                    <a:blip r:embed="rId8"/>
                    <a:stretch>
                      <a:fillRect/>
                    </a:stretch>
                  </pic:blipFill>
                  <pic:spPr>
                    <a:xfrm>
                      <a:off x="0" y="0"/>
                      <a:ext cx="5580000" cy="2945733"/>
                    </a:xfrm>
                    <a:prstGeom prst="rect">
                      <a:avLst/>
                    </a:prstGeom>
                  </pic:spPr>
                </pic:pic>
              </a:graphicData>
            </a:graphic>
          </wp:inline>
        </w:drawing>
      </w:r>
    </w:p>
    <w:p w14:paraId="3E824A8D" w14:textId="77777777" w:rsidR="00F54D8F" w:rsidRDefault="00000000">
      <w:pPr>
        <w:jc w:val="center"/>
        <w:rPr>
          <w:lang w:eastAsia="zh-CN"/>
        </w:rPr>
      </w:pPr>
      <w:r>
        <w:rPr>
          <w:rFonts w:eastAsia="SimSun"/>
          <w:color w:val="666666"/>
          <w:sz w:val="18"/>
          <w:lang w:eastAsia="zh-CN"/>
        </w:rPr>
        <w:lastRenderedPageBreak/>
        <w:t>图 3  历年入池 / 退出 / 代表切换事件数与年末 N</w:t>
      </w:r>
    </w:p>
    <w:p w14:paraId="2772DF50" w14:textId="77777777" w:rsidR="00F54D8F" w:rsidRDefault="00000000">
      <w:pPr>
        <w:pStyle w:val="Heading1"/>
        <w:rPr>
          <w:lang w:eastAsia="zh-CN"/>
        </w:rPr>
      </w:pPr>
      <w:r>
        <w:rPr>
          <w:rFonts w:ascii="SimHei" w:eastAsia="SimHei" w:hAnsi="SimHei"/>
          <w:lang w:eastAsia="zh-CN"/>
        </w:rPr>
        <w:t>二、策略构成</w:t>
      </w:r>
    </w:p>
    <w:p w14:paraId="7CEDBC9A" w14:textId="77777777" w:rsidR="00F54D8F" w:rsidRDefault="00000000">
      <w:pPr>
        <w:pStyle w:val="Heading2"/>
        <w:rPr>
          <w:lang w:eastAsia="zh-CN"/>
        </w:rPr>
      </w:pPr>
      <w:r>
        <w:rPr>
          <w:rFonts w:ascii="SimHei" w:eastAsia="SimHei" w:hAnsi="SimHei"/>
          <w:lang w:eastAsia="zh-CN"/>
        </w:rPr>
        <w:t>2.1 因子采集与标准化流程</w:t>
      </w:r>
    </w:p>
    <w:p w14:paraId="47695728" w14:textId="6031A21F" w:rsidR="00F54D8F" w:rsidRDefault="00000000">
      <w:pPr>
        <w:spacing w:after="80" w:line="336" w:lineRule="auto"/>
        <w:ind w:firstLine="454"/>
        <w:rPr>
          <w:lang w:eastAsia="zh-CN"/>
        </w:rPr>
      </w:pPr>
      <w:r>
        <w:rPr>
          <w:rFonts w:eastAsia="SimSun"/>
          <w:lang w:eastAsia="zh-CN"/>
        </w:rPr>
        <w:t>在池子确定后，为每只入池 ETF 计算完整的因子库，共写入约 344 个 parquet 缓存文件（factor cache），全体 ETF 共有 472 个因子同时可用。本次报告使用其中的</w:t>
      </w:r>
      <w:r w:rsidR="00212A6B">
        <w:rPr>
          <w:rFonts w:eastAsia="SimSun" w:hint="eastAsia"/>
          <w:lang w:eastAsia="zh-CN"/>
        </w:rPr>
        <w:t>量价</w:t>
      </w:r>
      <w:r>
        <w:rPr>
          <w:rFonts w:eastAsia="SimSun"/>
          <w:lang w:eastAsia="zh-CN"/>
        </w:rPr>
        <w:t>（PV）类因子——总计 322 个候选因子。</w:t>
      </w:r>
    </w:p>
    <w:p w14:paraId="2F417312" w14:textId="77777777" w:rsidR="00F54D8F" w:rsidRDefault="00000000">
      <w:pPr>
        <w:spacing w:after="80" w:line="336" w:lineRule="auto"/>
        <w:ind w:firstLine="454"/>
        <w:rPr>
          <w:lang w:eastAsia="zh-CN"/>
        </w:rPr>
      </w:pPr>
      <w:r>
        <w:rPr>
          <w:rFonts w:eastAsia="SimSun"/>
          <w:lang w:eastAsia="zh-CN"/>
        </w:rPr>
        <w:t>所有因子在进入排序前都经过两阶段标准化：</w:t>
      </w:r>
    </w:p>
    <w:p w14:paraId="7CE855B3" w14:textId="77777777" w:rsidR="00F54D8F" w:rsidRDefault="00000000">
      <w:pPr>
        <w:pStyle w:val="ListBullet"/>
        <w:spacing w:after="40" w:line="312" w:lineRule="auto"/>
      </w:pPr>
      <w:r>
        <w:rPr>
          <w:rFonts w:eastAsia="SimSun"/>
        </w:rPr>
        <w:t>Stage-1（按名扩展 z-score）：对每只 ETF 的因子时间序列，以 26 周为热身窗口做扩展窗口 z-score，得到跨时间可比的因子值。</w:t>
      </w:r>
    </w:p>
    <w:p w14:paraId="782C9DE6" w14:textId="77777777" w:rsidR="00F54D8F" w:rsidRDefault="00000000">
      <w:pPr>
        <w:pStyle w:val="ListBullet"/>
        <w:spacing w:after="40" w:line="312" w:lineRule="auto"/>
      </w:pPr>
      <w:r>
        <w:rPr>
          <w:rFonts w:eastAsia="SimSun"/>
        </w:rPr>
        <w:t>Stage-2（每期截面 Gaussian rank）：在每个调仓日，对所有池内 ETF 的 stage-1 值做截面秩变换后再套上正态分位函数，得到每期近似 N(0,1) 的截面得分。</w:t>
      </w:r>
    </w:p>
    <w:p w14:paraId="62B273B8" w14:textId="77777777" w:rsidR="00F54D8F" w:rsidRDefault="00000000">
      <w:pPr>
        <w:spacing w:after="80" w:line="336" w:lineRule="auto"/>
        <w:ind w:firstLine="454"/>
      </w:pPr>
      <w:r>
        <w:rPr>
          <w:rFonts w:eastAsia="SimSun"/>
        </w:rPr>
        <w:t>标签变量 ỹ 采用“风险调整后的排序未来收益”：即 fwd_1w / σ_causal_26w 在每期截面 Gaussian rank 之后的结果，是所有单因子 IC 评估的比较基准。</w:t>
      </w:r>
    </w:p>
    <w:p w14:paraId="730E3AB9" w14:textId="77777777" w:rsidR="00F54D8F" w:rsidRDefault="00000000">
      <w:pPr>
        <w:pStyle w:val="Heading2"/>
      </w:pPr>
      <w:r>
        <w:rPr>
          <w:rFonts w:ascii="SimHei" w:eastAsia="SimHei" w:hAnsi="SimHei"/>
        </w:rPr>
        <w:t>2.2 因子筛选与去相关</w:t>
      </w:r>
    </w:p>
    <w:p w14:paraId="03EFC618" w14:textId="77777777" w:rsidR="00F54D8F" w:rsidRDefault="00000000">
      <w:pPr>
        <w:spacing w:after="80" w:line="336" w:lineRule="auto"/>
        <w:ind w:firstLine="454"/>
        <w:rPr>
          <w:lang w:eastAsia="zh-CN"/>
        </w:rPr>
      </w:pPr>
      <w:r>
        <w:rPr>
          <w:rFonts w:eastAsia="SimSun"/>
          <w:lang w:eastAsia="zh-CN"/>
        </w:rPr>
        <w:t>因子筛选流程分为三级漏斗：从 322 个 PV 候选因子出发，先按 z-stat 强度（|zstat| ≥ 2 且有效周数 ≥ 100）过关，保留 102 个；再对通过闸门的因子按 stage-2 面板做贪婪去相关（|</w:t>
      </w:r>
      <w:r>
        <w:rPr>
          <w:rFonts w:eastAsia="SimSun"/>
        </w:rPr>
        <w:t>ρ</w:t>
      </w:r>
      <w:r>
        <w:rPr>
          <w:rFonts w:eastAsia="SimSun"/>
          <w:lang w:eastAsia="zh-CN"/>
        </w:rPr>
        <w:t>| ≤ 0.5），最终 shortlist 保留 28 个作为集成用的“干净”因子。</w:t>
      </w:r>
    </w:p>
    <w:p w14:paraId="208F3600" w14:textId="77777777" w:rsidR="00F54D8F" w:rsidRDefault="00000000">
      <w:pPr>
        <w:jc w:val="center"/>
      </w:pPr>
      <w:r>
        <w:rPr>
          <w:noProof/>
        </w:rPr>
        <w:drawing>
          <wp:inline distT="0" distB="0" distL="0" distR="0" wp14:anchorId="6290D2C2" wp14:editId="68F251E3">
            <wp:extent cx="5580000" cy="29408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funnel.png"/>
                    <pic:cNvPicPr/>
                  </pic:nvPicPr>
                  <pic:blipFill>
                    <a:blip r:embed="rId9"/>
                    <a:stretch>
                      <a:fillRect/>
                    </a:stretch>
                  </pic:blipFill>
                  <pic:spPr>
                    <a:xfrm>
                      <a:off x="0" y="0"/>
                      <a:ext cx="5580000" cy="2940811"/>
                    </a:xfrm>
                    <a:prstGeom prst="rect">
                      <a:avLst/>
                    </a:prstGeom>
                  </pic:spPr>
                </pic:pic>
              </a:graphicData>
            </a:graphic>
          </wp:inline>
        </w:drawing>
      </w:r>
    </w:p>
    <w:p w14:paraId="31176914" w14:textId="77777777" w:rsidR="00F54D8F" w:rsidRDefault="00000000">
      <w:pPr>
        <w:jc w:val="center"/>
        <w:rPr>
          <w:lang w:eastAsia="zh-CN"/>
        </w:rPr>
      </w:pPr>
      <w:r>
        <w:rPr>
          <w:rFonts w:eastAsia="SimSun"/>
          <w:color w:val="666666"/>
          <w:sz w:val="18"/>
          <w:lang w:eastAsia="zh-CN"/>
        </w:rPr>
        <w:t>图 4  Alpha 因子筛选漏斗</w:t>
      </w:r>
    </w:p>
    <w:p w14:paraId="6A26FE41" w14:textId="46D53067" w:rsidR="00F54D8F" w:rsidRDefault="00000000">
      <w:pPr>
        <w:spacing w:after="80" w:line="336" w:lineRule="auto"/>
        <w:ind w:firstLine="454"/>
        <w:rPr>
          <w:lang w:eastAsia="zh-CN"/>
        </w:rPr>
      </w:pPr>
      <w:r>
        <w:rPr>
          <w:rFonts w:eastAsia="SimSun"/>
          <w:lang w:eastAsia="zh-CN"/>
        </w:rPr>
        <w:lastRenderedPageBreak/>
        <w:t>下图列出前 15 个单因子的 z-stat，色带方向为极性（绿为正相关，红为负相关）。alpha_071、alpha_028、cvar5_60、wq_052 等</w:t>
      </w:r>
      <w:r w:rsidR="00A85618">
        <w:rPr>
          <w:rFonts w:eastAsia="SimSun" w:hint="eastAsia"/>
          <w:lang w:eastAsia="zh-CN"/>
        </w:rPr>
        <w:t>量价</w:t>
      </w:r>
      <w:r>
        <w:rPr>
          <w:rFonts w:eastAsia="SimSun"/>
          <w:lang w:eastAsia="zh-CN"/>
        </w:rPr>
        <w:t>类因子的 z-stat 均达到 5 以上，属于该池子里最稳健的截面预测因子。</w:t>
      </w:r>
    </w:p>
    <w:p w14:paraId="74F4E338" w14:textId="77777777" w:rsidR="00F54D8F" w:rsidRDefault="00000000">
      <w:pPr>
        <w:jc w:val="center"/>
      </w:pPr>
      <w:r>
        <w:rPr>
          <w:noProof/>
        </w:rPr>
        <w:drawing>
          <wp:inline distT="0" distB="0" distL="0" distR="0" wp14:anchorId="333C6382" wp14:editId="2EC2373D">
            <wp:extent cx="5580000" cy="3076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topalpha.png"/>
                    <pic:cNvPicPr/>
                  </pic:nvPicPr>
                  <pic:blipFill>
                    <a:blip r:embed="rId10"/>
                    <a:stretch>
                      <a:fillRect/>
                    </a:stretch>
                  </pic:blipFill>
                  <pic:spPr>
                    <a:xfrm>
                      <a:off x="0" y="0"/>
                      <a:ext cx="5580000" cy="3076957"/>
                    </a:xfrm>
                    <a:prstGeom prst="rect">
                      <a:avLst/>
                    </a:prstGeom>
                  </pic:spPr>
                </pic:pic>
              </a:graphicData>
            </a:graphic>
          </wp:inline>
        </w:drawing>
      </w:r>
    </w:p>
    <w:p w14:paraId="71BDD2DA" w14:textId="77777777" w:rsidR="00F54D8F" w:rsidRDefault="00000000">
      <w:pPr>
        <w:jc w:val="center"/>
      </w:pPr>
      <w:r>
        <w:rPr>
          <w:rFonts w:eastAsia="SimSun"/>
          <w:color w:val="666666"/>
          <w:sz w:val="18"/>
        </w:rPr>
        <w:t>图 5  Top 15 单因子 z-stat（按 |zstat| 排序）</w:t>
      </w:r>
    </w:p>
    <w:p w14:paraId="1A4EEA9C" w14:textId="77777777" w:rsidR="00F54D8F" w:rsidRDefault="00000000">
      <w:pPr>
        <w:pStyle w:val="Heading2"/>
      </w:pPr>
      <w:r>
        <w:rPr>
          <w:rFonts w:ascii="SimHei" w:eastAsia="SimHei" w:hAnsi="SimHei"/>
        </w:rPr>
        <w:t>2.3 集成方案：原始 α 的按行 z 平均</w:t>
      </w:r>
    </w:p>
    <w:p w14:paraId="608B2E6C" w14:textId="77777777" w:rsidR="00F54D8F" w:rsidRDefault="00000000">
      <w:pPr>
        <w:spacing w:after="80" w:line="336" w:lineRule="auto"/>
        <w:ind w:firstLine="454"/>
        <w:rPr>
          <w:lang w:eastAsia="zh-CN"/>
        </w:rPr>
      </w:pPr>
      <w:r>
        <w:rPr>
          <w:rFonts w:eastAsia="SimSun"/>
        </w:rPr>
        <w:t>集成方案采用“按每期截面对原始 α 做 z 归一化后取均值”的方法（row-z of raw α）。</w:t>
      </w:r>
      <w:r>
        <w:rPr>
          <w:rFonts w:eastAsia="SimSun"/>
          <w:lang w:eastAsia="zh-CN"/>
        </w:rPr>
        <w:t xml:space="preserve">此前在诊断实验中曾比较过“stage-2 CS-rank 平均”方案——后者会把 </w:t>
      </w:r>
      <w:r>
        <w:rPr>
          <w:rFonts w:eastAsia="SimSun"/>
        </w:rPr>
        <w:t>α</w:t>
      </w:r>
      <w:r>
        <w:rPr>
          <w:rFonts w:eastAsia="SimSun"/>
          <w:lang w:eastAsia="zh-CN"/>
        </w:rPr>
        <w:t xml:space="preserve"> 的强度信息压平为纯序数，进而毁掉组合的净夏普；row-z 版本则保留了信号幅度的差异，使波动率反比配权时能反映真实的信心强弱。</w:t>
      </w:r>
    </w:p>
    <w:p w14:paraId="5680D793" w14:textId="77777777" w:rsidR="00F54D8F" w:rsidRDefault="00000000">
      <w:pPr>
        <w:pStyle w:val="Heading2"/>
        <w:rPr>
          <w:lang w:eastAsia="zh-CN"/>
        </w:rPr>
      </w:pPr>
      <w:r>
        <w:rPr>
          <w:rFonts w:ascii="SimHei" w:eastAsia="SimHei" w:hAnsi="SimHei"/>
          <w:lang w:eastAsia="zh-CN"/>
        </w:rPr>
        <w:t>2.4 排名与选股：Top-q 分位截断</w:t>
      </w:r>
    </w:p>
    <w:p w14:paraId="27DB0349" w14:textId="77777777" w:rsidR="00F54D8F" w:rsidRDefault="00000000">
      <w:pPr>
        <w:spacing w:after="80" w:line="336" w:lineRule="auto"/>
        <w:ind w:firstLine="454"/>
        <w:rPr>
          <w:lang w:eastAsia="zh-CN"/>
        </w:rPr>
      </w:pPr>
      <w:r>
        <w:rPr>
          <w:rFonts w:eastAsia="SimSun"/>
          <w:lang w:eastAsia="zh-CN"/>
        </w:rPr>
        <w:t xml:space="preserve">对每期集成 </w:t>
      </w:r>
      <w:r>
        <w:rPr>
          <w:rFonts w:eastAsia="SimSun"/>
        </w:rPr>
        <w:t>α</w:t>
      </w:r>
      <w:r>
        <w:rPr>
          <w:rFonts w:eastAsia="SimSun"/>
          <w:lang w:eastAsia="zh-CN"/>
        </w:rPr>
        <w:t xml:space="preserve"> 按截面从高到低排序，取秩前 K_t = ⌈q · N_t⌉ 只 ETF 作为多头持仓。报告中同时呈现三种 q 的 baseline：q = 5%、10%、20%——分别对应集中度高、中、低的组合，在样本期均值 N ≈ 85 的池子里，K 约为 5、9、17。</w:t>
      </w:r>
    </w:p>
    <w:p w14:paraId="1819DC0B" w14:textId="77777777" w:rsidR="00F54D8F" w:rsidRDefault="00000000">
      <w:pPr>
        <w:pStyle w:val="Heading2"/>
        <w:rPr>
          <w:lang w:eastAsia="zh-CN"/>
        </w:rPr>
      </w:pPr>
      <w:r>
        <w:rPr>
          <w:rFonts w:ascii="SimHei" w:eastAsia="SimHei" w:hAnsi="SimHei"/>
          <w:lang w:eastAsia="zh-CN"/>
        </w:rPr>
        <w:t>2.5 权重构造：波动率反比配比</w:t>
      </w:r>
    </w:p>
    <w:p w14:paraId="331B4147" w14:textId="77777777" w:rsidR="00F54D8F" w:rsidRDefault="00000000">
      <w:pPr>
        <w:spacing w:after="80" w:line="336" w:lineRule="auto"/>
        <w:ind w:firstLine="454"/>
        <w:rPr>
          <w:lang w:eastAsia="zh-CN"/>
        </w:rPr>
      </w:pPr>
      <w:r>
        <w:rPr>
          <w:rFonts w:eastAsia="SimSun"/>
        </w:rPr>
        <w:t>在 top-K 之内，权重按各 ETF 的因果 26 周波动率的倒数分配：w_i ∝ 1 / σ_causal_26w_i，然后归一化使 Σ w_i = 1（纯多头）。</w:t>
      </w:r>
      <w:r>
        <w:rPr>
          <w:rFonts w:eastAsia="SimSun"/>
          <w:lang w:eastAsia="zh-CN"/>
        </w:rPr>
        <w:t>该权重方案的直觉是：让每只持仓贡献相近的风险预算，避免把权重过度集中到波动率最低但也可能最缺乏收益的品种上——这也是全书两大控制变量之一（另一个是 top-q 分位阈值）。</w:t>
      </w:r>
    </w:p>
    <w:p w14:paraId="37A40BDF" w14:textId="77777777" w:rsidR="00F54D8F" w:rsidRDefault="00000000">
      <w:pPr>
        <w:pStyle w:val="Heading1"/>
        <w:rPr>
          <w:lang w:eastAsia="zh-CN"/>
        </w:rPr>
      </w:pPr>
      <w:r>
        <w:rPr>
          <w:rFonts w:ascii="SimHei" w:eastAsia="SimHei" w:hAnsi="SimHei"/>
          <w:lang w:eastAsia="zh-CN"/>
        </w:rPr>
        <w:lastRenderedPageBreak/>
        <w:t>三、基础版本（无 hysteresis）回测</w:t>
      </w:r>
    </w:p>
    <w:p w14:paraId="2B684401" w14:textId="77777777" w:rsidR="00F54D8F" w:rsidRDefault="00000000">
      <w:pPr>
        <w:pStyle w:val="Heading2"/>
        <w:rPr>
          <w:lang w:eastAsia="zh-CN"/>
        </w:rPr>
      </w:pPr>
      <w:r>
        <w:rPr>
          <w:rFonts w:ascii="SimHei" w:eastAsia="SimHei" w:hAnsi="SimHei"/>
          <w:lang w:eastAsia="zh-CN"/>
        </w:rPr>
        <w:t>3.1 关注的核心指标</w:t>
      </w:r>
    </w:p>
    <w:p w14:paraId="5A05939B" w14:textId="77777777" w:rsidR="00F54D8F" w:rsidRDefault="00000000">
      <w:pPr>
        <w:spacing w:after="80" w:line="336" w:lineRule="auto"/>
        <w:ind w:firstLine="454"/>
        <w:rPr>
          <w:lang w:eastAsia="zh-CN"/>
        </w:rPr>
      </w:pPr>
      <w:r>
        <w:rPr>
          <w:rFonts w:eastAsia="SimSun"/>
          <w:lang w:eastAsia="zh-CN"/>
        </w:rPr>
        <w:t>本报告使用以下几个核心指标：</w:t>
      </w:r>
    </w:p>
    <w:p w14:paraId="22FC98D2" w14:textId="77777777" w:rsidR="00F54D8F" w:rsidRDefault="00000000">
      <w:pPr>
        <w:pStyle w:val="ListBullet"/>
        <w:spacing w:after="40" w:line="312" w:lineRule="auto"/>
      </w:pPr>
      <w:r>
        <w:rPr>
          <w:rFonts w:eastAsia="SimSun"/>
        </w:rPr>
        <w:t>净夏普（net Sharpe）：年化超额收益 / 年化波动，以周度净收益（扣除 10 bp/单边成本）为基。</w:t>
      </w:r>
    </w:p>
    <w:p w14:paraId="4F7F7F43" w14:textId="77777777" w:rsidR="00F54D8F" w:rsidRDefault="00000000">
      <w:pPr>
        <w:pStyle w:val="ListBullet"/>
        <w:spacing w:after="40" w:line="312" w:lineRule="auto"/>
      </w:pPr>
      <w:r>
        <w:rPr>
          <w:rFonts w:eastAsia="SimSun"/>
        </w:rPr>
        <w:t>CAGR：常数名义本金 NAV_t = 1 + Σ net_ret 路径上的年化复合增长率，用于表达组合的长期回报速度。</w:t>
      </w:r>
    </w:p>
    <w:p w14:paraId="69421869" w14:textId="77777777" w:rsidR="00F54D8F" w:rsidRDefault="00000000">
      <w:pPr>
        <w:pStyle w:val="ListBullet"/>
        <w:spacing w:after="40" w:line="312" w:lineRule="auto"/>
        <w:rPr>
          <w:lang w:eastAsia="zh-CN"/>
        </w:rPr>
      </w:pPr>
      <w:r>
        <w:rPr>
          <w:rFonts w:eastAsia="SimSun"/>
          <w:lang w:eastAsia="zh-CN"/>
        </w:rPr>
        <w:t>最大回撤（Max DD）：净值曲线从历史高点回撤的极值，量度尾部风险。</w:t>
      </w:r>
    </w:p>
    <w:p w14:paraId="27AF63A4" w14:textId="77777777" w:rsidR="00F54D8F" w:rsidRDefault="00000000">
      <w:pPr>
        <w:pStyle w:val="ListBullet"/>
        <w:spacing w:after="40" w:line="312" w:lineRule="auto"/>
      </w:pPr>
      <w:r>
        <w:rPr>
          <w:rFonts w:eastAsia="SimSun"/>
        </w:rPr>
        <w:t>换手（turnover）与成本（cost bps/yr）：每期单边 |Δw| 求和的均值 × 52 × 1e4，反映交易摩擦对净收益的侵蚀。</w:t>
      </w:r>
    </w:p>
    <w:p w14:paraId="0E8E48D9" w14:textId="77777777" w:rsidR="00F54D8F" w:rsidRDefault="00000000">
      <w:pPr>
        <w:pStyle w:val="ListBullet"/>
        <w:spacing w:after="40" w:line="312" w:lineRule="auto"/>
        <w:rPr>
          <w:lang w:eastAsia="zh-CN"/>
        </w:rPr>
      </w:pPr>
      <w:r>
        <w:rPr>
          <w:rFonts w:eastAsia="SimSun"/>
          <w:lang w:eastAsia="zh-CN"/>
        </w:rPr>
        <w:t>换手可进一步拆分为“选股换手”（名字进出）与“权重调整”（同时持有下的份额调整），两者之和等于总换手。</w:t>
      </w:r>
    </w:p>
    <w:p w14:paraId="038D5E24" w14:textId="77777777" w:rsidR="00F54D8F" w:rsidRDefault="00000000">
      <w:pPr>
        <w:pStyle w:val="Heading2"/>
      </w:pPr>
      <w:r>
        <w:rPr>
          <w:rFonts w:ascii="SimHei" w:eastAsia="SimHei" w:hAnsi="SimHei"/>
        </w:rPr>
        <w:t>3.2 baseline 净值与回撤</w:t>
      </w:r>
    </w:p>
    <w:p w14:paraId="61612C1F" w14:textId="77777777" w:rsidR="00F54D8F" w:rsidRDefault="00000000">
      <w:pPr>
        <w:spacing w:after="80" w:line="336" w:lineRule="auto"/>
        <w:ind w:firstLine="454"/>
      </w:pPr>
      <w:r>
        <w:rPr>
          <w:rFonts w:eastAsia="SimSun"/>
        </w:rPr>
        <w:t>三个 baseline 均为纯多头，10bp/单边成本口径。可以观察到：</w:t>
      </w:r>
    </w:p>
    <w:p w14:paraId="67E67F12" w14:textId="77777777" w:rsidR="00F54D8F" w:rsidRDefault="00000000">
      <w:pPr>
        <w:pStyle w:val="ListBullet"/>
        <w:spacing w:after="40" w:line="312" w:lineRule="auto"/>
      </w:pPr>
      <w:r>
        <w:rPr>
          <w:rFonts w:eastAsia="SimSun"/>
        </w:rPr>
        <w:t>Top 5%（集中度最高）：全窗净夏普 0.97，CAGR 1.75%，最大回撤 -4.68%。</w:t>
      </w:r>
    </w:p>
    <w:p w14:paraId="10A5BF44" w14:textId="77777777" w:rsidR="00F54D8F" w:rsidRDefault="00000000">
      <w:pPr>
        <w:pStyle w:val="ListBullet"/>
        <w:spacing w:after="40" w:line="312" w:lineRule="auto"/>
      </w:pPr>
      <w:r>
        <w:rPr>
          <w:rFonts w:eastAsia="SimSun"/>
        </w:rPr>
        <w:t>Top 10%：全窗净夏普 0.83，CAGR 1.79%，最大回撤 -3.77%。</w:t>
      </w:r>
    </w:p>
    <w:p w14:paraId="41A7527E" w14:textId="77777777" w:rsidR="00F54D8F" w:rsidRDefault="00000000">
      <w:pPr>
        <w:pStyle w:val="ListBullet"/>
        <w:spacing w:after="40" w:line="312" w:lineRule="auto"/>
      </w:pPr>
      <w:r>
        <w:rPr>
          <w:rFonts w:eastAsia="SimSun"/>
        </w:rPr>
        <w:t>Top 20%（集中度最低）：全窗净夏普 1.01，CAGR 3.09%，最大回撤 -5.24%。</w:t>
      </w:r>
    </w:p>
    <w:p w14:paraId="4B148DDB" w14:textId="77777777" w:rsidR="00F54D8F" w:rsidRDefault="00000000">
      <w:pPr>
        <w:jc w:val="center"/>
      </w:pPr>
      <w:r>
        <w:rPr>
          <w:noProof/>
        </w:rPr>
        <w:drawing>
          <wp:inline distT="0" distB="0" distL="0" distR="0" wp14:anchorId="6BCDDDCC" wp14:editId="53C2D59E">
            <wp:extent cx="5580000" cy="27658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nav_baseline.png"/>
                    <pic:cNvPicPr/>
                  </pic:nvPicPr>
                  <pic:blipFill>
                    <a:blip r:embed="rId11"/>
                    <a:stretch>
                      <a:fillRect/>
                    </a:stretch>
                  </pic:blipFill>
                  <pic:spPr>
                    <a:xfrm>
                      <a:off x="0" y="0"/>
                      <a:ext cx="5580000" cy="2765865"/>
                    </a:xfrm>
                    <a:prstGeom prst="rect">
                      <a:avLst/>
                    </a:prstGeom>
                  </pic:spPr>
                </pic:pic>
              </a:graphicData>
            </a:graphic>
          </wp:inline>
        </w:drawing>
      </w:r>
    </w:p>
    <w:p w14:paraId="6E92DB7B" w14:textId="77777777" w:rsidR="00F54D8F" w:rsidRDefault="00000000">
      <w:pPr>
        <w:jc w:val="center"/>
      </w:pPr>
      <w:r>
        <w:rPr>
          <w:rFonts w:eastAsia="SimSun"/>
          <w:color w:val="666666"/>
          <w:sz w:val="18"/>
        </w:rPr>
        <w:t>图 6  三个 baseline 的净值曲线（含成本）</w:t>
      </w:r>
    </w:p>
    <w:p w14:paraId="12FADE1F" w14:textId="77777777" w:rsidR="00F54D8F" w:rsidRDefault="00000000">
      <w:pPr>
        <w:jc w:val="center"/>
      </w:pPr>
      <w:r>
        <w:rPr>
          <w:noProof/>
        </w:rPr>
        <w:lastRenderedPageBreak/>
        <w:drawing>
          <wp:inline distT="0" distB="0" distL="0" distR="0" wp14:anchorId="7489E7A3" wp14:editId="69883EDD">
            <wp:extent cx="5580000" cy="27658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d_baseline.png"/>
                    <pic:cNvPicPr/>
                  </pic:nvPicPr>
                  <pic:blipFill>
                    <a:blip r:embed="rId12"/>
                    <a:stretch>
                      <a:fillRect/>
                    </a:stretch>
                  </pic:blipFill>
                  <pic:spPr>
                    <a:xfrm>
                      <a:off x="0" y="0"/>
                      <a:ext cx="5580000" cy="2765865"/>
                    </a:xfrm>
                    <a:prstGeom prst="rect">
                      <a:avLst/>
                    </a:prstGeom>
                  </pic:spPr>
                </pic:pic>
              </a:graphicData>
            </a:graphic>
          </wp:inline>
        </w:drawing>
      </w:r>
    </w:p>
    <w:p w14:paraId="3D27F60C" w14:textId="77777777" w:rsidR="00F54D8F" w:rsidRDefault="00000000">
      <w:pPr>
        <w:jc w:val="center"/>
        <w:rPr>
          <w:lang w:eastAsia="zh-CN"/>
        </w:rPr>
      </w:pPr>
      <w:r>
        <w:rPr>
          <w:rFonts w:eastAsia="SimSun"/>
          <w:color w:val="666666"/>
          <w:sz w:val="18"/>
          <w:lang w:eastAsia="zh-CN"/>
        </w:rPr>
        <w:t>图 7  三个 baseline 的回撤历史</w:t>
      </w:r>
    </w:p>
    <w:p w14:paraId="4116F956" w14:textId="77777777" w:rsidR="00F54D8F" w:rsidRDefault="00000000">
      <w:pPr>
        <w:spacing w:after="80" w:line="336" w:lineRule="auto"/>
        <w:ind w:firstLine="454"/>
        <w:rPr>
          <w:lang w:eastAsia="zh-CN"/>
        </w:rPr>
      </w:pPr>
      <w:r>
        <w:rPr>
          <w:rFonts w:eastAsia="SimSun"/>
          <w:lang w:eastAsia="zh-CN"/>
        </w:rPr>
        <w:t xml:space="preserve">综合来看，Top 20% 的组合虽然选股数量最多、集中度最低，但年化回报最强、回撤更接近深度回撤但仍可控；Top 5% 与 Top 10% 集中度更高，但样本内 </w:t>
      </w:r>
      <w:r>
        <w:rPr>
          <w:rFonts w:eastAsia="SimSun"/>
        </w:rPr>
        <w:t>α</w:t>
      </w:r>
      <w:r>
        <w:rPr>
          <w:rFonts w:eastAsia="SimSun"/>
          <w:lang w:eastAsia="zh-CN"/>
        </w:rPr>
        <w:t xml:space="preserve"> 信号未能完全对冲掉更大的选股换手成本，样本外净夏普存在明显衰减（Top 5% 从 IS 的 1.05 降到 OOS 的 0.59）。</w:t>
      </w:r>
    </w:p>
    <w:tbl>
      <w:tblPr>
        <w:tblStyle w:val="LightGrid-Accent1"/>
        <w:tblW w:w="0" w:type="auto"/>
        <w:jc w:val="center"/>
        <w:tblLook w:val="04A0" w:firstRow="1" w:lastRow="0" w:firstColumn="1" w:lastColumn="0" w:noHBand="0" w:noVBand="1"/>
      </w:tblPr>
      <w:tblGrid>
        <w:gridCol w:w="1568"/>
        <w:gridCol w:w="1568"/>
        <w:gridCol w:w="1568"/>
        <w:gridCol w:w="1568"/>
        <w:gridCol w:w="1568"/>
        <w:gridCol w:w="1568"/>
      </w:tblGrid>
      <w:tr w:rsidR="00F54D8F" w14:paraId="0BBE50BE" w14:textId="77777777" w:rsidTr="00F54D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9681CF4" w14:textId="77777777" w:rsidR="00F54D8F" w:rsidRDefault="00000000">
            <w:pPr>
              <w:jc w:val="center"/>
            </w:pPr>
            <w:r>
              <w:rPr>
                <w:rFonts w:eastAsia="SimSun"/>
                <w:sz w:val="20"/>
              </w:rPr>
              <w:t>方案</w:t>
            </w:r>
          </w:p>
        </w:tc>
        <w:tc>
          <w:tcPr>
            <w:tcW w:w="1568" w:type="dxa"/>
          </w:tcPr>
          <w:p w14:paraId="1A2B85C6"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窗口</w:t>
            </w:r>
          </w:p>
        </w:tc>
        <w:tc>
          <w:tcPr>
            <w:tcW w:w="1568" w:type="dxa"/>
          </w:tcPr>
          <w:p w14:paraId="12B7BB33"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净夏普</w:t>
            </w:r>
          </w:p>
        </w:tc>
        <w:tc>
          <w:tcPr>
            <w:tcW w:w="1568" w:type="dxa"/>
          </w:tcPr>
          <w:p w14:paraId="2D9544D5"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CAGR</w:t>
            </w:r>
          </w:p>
        </w:tc>
        <w:tc>
          <w:tcPr>
            <w:tcW w:w="1568" w:type="dxa"/>
          </w:tcPr>
          <w:p w14:paraId="527E66C9"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最大回撤</w:t>
            </w:r>
          </w:p>
        </w:tc>
        <w:tc>
          <w:tcPr>
            <w:tcW w:w="1568" w:type="dxa"/>
          </w:tcPr>
          <w:p w14:paraId="563A0AD4"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年化成本 (bps)</w:t>
            </w:r>
          </w:p>
        </w:tc>
      </w:tr>
      <w:tr w:rsidR="00F54D8F" w14:paraId="4F443638"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F2C47D1" w14:textId="77777777" w:rsidR="00F54D8F" w:rsidRDefault="00000000">
            <w:pPr>
              <w:jc w:val="center"/>
            </w:pPr>
            <w:r>
              <w:rPr>
                <w:rFonts w:eastAsia="SimSun"/>
                <w:sz w:val="20"/>
              </w:rPr>
              <w:t>Top 5%</w:t>
            </w:r>
          </w:p>
        </w:tc>
        <w:tc>
          <w:tcPr>
            <w:tcW w:w="1568" w:type="dxa"/>
          </w:tcPr>
          <w:p w14:paraId="00CBD8A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IS</w:t>
            </w:r>
          </w:p>
        </w:tc>
        <w:tc>
          <w:tcPr>
            <w:tcW w:w="1568" w:type="dxa"/>
          </w:tcPr>
          <w:p w14:paraId="274302DE"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1.05</w:t>
            </w:r>
          </w:p>
        </w:tc>
        <w:tc>
          <w:tcPr>
            <w:tcW w:w="1568" w:type="dxa"/>
          </w:tcPr>
          <w:p w14:paraId="50D1B8B8"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2.11%</w:t>
            </w:r>
          </w:p>
        </w:tc>
        <w:tc>
          <w:tcPr>
            <w:tcW w:w="1568" w:type="dxa"/>
          </w:tcPr>
          <w:p w14:paraId="18A8476C"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-4.68%</w:t>
            </w:r>
          </w:p>
        </w:tc>
        <w:tc>
          <w:tcPr>
            <w:tcW w:w="1568" w:type="dxa"/>
          </w:tcPr>
          <w:p w14:paraId="0AC8AA91"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w:t>
            </w:r>
          </w:p>
        </w:tc>
      </w:tr>
      <w:tr w:rsidR="00F54D8F" w14:paraId="7B263093"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6E0EF5E" w14:textId="77777777" w:rsidR="00F54D8F" w:rsidRDefault="00000000">
            <w:pPr>
              <w:jc w:val="center"/>
            </w:pPr>
            <w:r>
              <w:rPr>
                <w:rFonts w:eastAsia="SimSun"/>
                <w:sz w:val="20"/>
              </w:rPr>
              <w:t>Top 5%</w:t>
            </w:r>
          </w:p>
        </w:tc>
        <w:tc>
          <w:tcPr>
            <w:tcW w:w="1568" w:type="dxa"/>
          </w:tcPr>
          <w:p w14:paraId="7E4BA7A3"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OOS</w:t>
            </w:r>
          </w:p>
        </w:tc>
        <w:tc>
          <w:tcPr>
            <w:tcW w:w="1568" w:type="dxa"/>
          </w:tcPr>
          <w:p w14:paraId="376B04C9"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0.59</w:t>
            </w:r>
          </w:p>
        </w:tc>
        <w:tc>
          <w:tcPr>
            <w:tcW w:w="1568" w:type="dxa"/>
          </w:tcPr>
          <w:p w14:paraId="1FA3748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0.52%</w:t>
            </w:r>
          </w:p>
        </w:tc>
        <w:tc>
          <w:tcPr>
            <w:tcW w:w="1568" w:type="dxa"/>
          </w:tcPr>
          <w:p w14:paraId="5CB9386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-1.01%</w:t>
            </w:r>
          </w:p>
        </w:tc>
        <w:tc>
          <w:tcPr>
            <w:tcW w:w="1568" w:type="dxa"/>
          </w:tcPr>
          <w:p w14:paraId="48B5A275"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w:t>
            </w:r>
          </w:p>
        </w:tc>
      </w:tr>
      <w:tr w:rsidR="00F54D8F" w14:paraId="38FFACDB"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32281F3" w14:textId="77777777" w:rsidR="00F54D8F" w:rsidRDefault="00000000">
            <w:pPr>
              <w:jc w:val="center"/>
            </w:pPr>
            <w:r>
              <w:rPr>
                <w:rFonts w:eastAsia="SimSun"/>
                <w:sz w:val="20"/>
              </w:rPr>
              <w:t>Top 5%</w:t>
            </w:r>
          </w:p>
        </w:tc>
        <w:tc>
          <w:tcPr>
            <w:tcW w:w="1568" w:type="dxa"/>
          </w:tcPr>
          <w:p w14:paraId="5DDFF53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全窗</w:t>
            </w:r>
          </w:p>
        </w:tc>
        <w:tc>
          <w:tcPr>
            <w:tcW w:w="1568" w:type="dxa"/>
          </w:tcPr>
          <w:p w14:paraId="73CED95B"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0.97</w:t>
            </w:r>
          </w:p>
        </w:tc>
        <w:tc>
          <w:tcPr>
            <w:tcW w:w="1568" w:type="dxa"/>
          </w:tcPr>
          <w:p w14:paraId="61756680"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1.75%</w:t>
            </w:r>
          </w:p>
        </w:tc>
        <w:tc>
          <w:tcPr>
            <w:tcW w:w="1568" w:type="dxa"/>
          </w:tcPr>
          <w:p w14:paraId="6FEA32A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-4.68%</w:t>
            </w:r>
          </w:p>
        </w:tc>
        <w:tc>
          <w:tcPr>
            <w:tcW w:w="1568" w:type="dxa"/>
          </w:tcPr>
          <w:p w14:paraId="06A6686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152</w:t>
            </w:r>
          </w:p>
        </w:tc>
      </w:tr>
      <w:tr w:rsidR="00F54D8F" w14:paraId="5937D0DC"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3970FF2" w14:textId="77777777" w:rsidR="00F54D8F" w:rsidRDefault="00000000">
            <w:pPr>
              <w:jc w:val="center"/>
            </w:pPr>
            <w:r>
              <w:rPr>
                <w:rFonts w:eastAsia="SimSun"/>
                <w:sz w:val="20"/>
              </w:rPr>
              <w:t>Top 10%</w:t>
            </w:r>
          </w:p>
        </w:tc>
        <w:tc>
          <w:tcPr>
            <w:tcW w:w="1568" w:type="dxa"/>
          </w:tcPr>
          <w:p w14:paraId="154B8E35"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IS</w:t>
            </w:r>
          </w:p>
        </w:tc>
        <w:tc>
          <w:tcPr>
            <w:tcW w:w="1568" w:type="dxa"/>
          </w:tcPr>
          <w:p w14:paraId="0E9B522F"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0.81</w:t>
            </w:r>
          </w:p>
        </w:tc>
        <w:tc>
          <w:tcPr>
            <w:tcW w:w="1568" w:type="dxa"/>
          </w:tcPr>
          <w:p w14:paraId="77ACA120"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1.96%</w:t>
            </w:r>
          </w:p>
        </w:tc>
        <w:tc>
          <w:tcPr>
            <w:tcW w:w="1568" w:type="dxa"/>
          </w:tcPr>
          <w:p w14:paraId="34AE307A"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-3.77%</w:t>
            </w:r>
          </w:p>
        </w:tc>
        <w:tc>
          <w:tcPr>
            <w:tcW w:w="1568" w:type="dxa"/>
          </w:tcPr>
          <w:p w14:paraId="198688B9"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w:t>
            </w:r>
          </w:p>
        </w:tc>
      </w:tr>
      <w:tr w:rsidR="00F54D8F" w14:paraId="508A0D8E"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D5475D7" w14:textId="77777777" w:rsidR="00F54D8F" w:rsidRDefault="00000000">
            <w:pPr>
              <w:jc w:val="center"/>
            </w:pPr>
            <w:r>
              <w:rPr>
                <w:rFonts w:eastAsia="SimSun"/>
                <w:sz w:val="20"/>
              </w:rPr>
              <w:t>Top 10%</w:t>
            </w:r>
          </w:p>
        </w:tc>
        <w:tc>
          <w:tcPr>
            <w:tcW w:w="1568" w:type="dxa"/>
          </w:tcPr>
          <w:p w14:paraId="3C39A4D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OOS</w:t>
            </w:r>
          </w:p>
        </w:tc>
        <w:tc>
          <w:tcPr>
            <w:tcW w:w="1568" w:type="dxa"/>
          </w:tcPr>
          <w:p w14:paraId="0A7620AE"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1.47</w:t>
            </w:r>
          </w:p>
        </w:tc>
        <w:tc>
          <w:tcPr>
            <w:tcW w:w="1568" w:type="dxa"/>
          </w:tcPr>
          <w:p w14:paraId="70D072BF"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1.33%</w:t>
            </w:r>
          </w:p>
        </w:tc>
        <w:tc>
          <w:tcPr>
            <w:tcW w:w="1568" w:type="dxa"/>
          </w:tcPr>
          <w:p w14:paraId="07CF0ACB"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-0.86%</w:t>
            </w:r>
          </w:p>
        </w:tc>
        <w:tc>
          <w:tcPr>
            <w:tcW w:w="1568" w:type="dxa"/>
          </w:tcPr>
          <w:p w14:paraId="2CDDB58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w:t>
            </w:r>
          </w:p>
        </w:tc>
      </w:tr>
      <w:tr w:rsidR="00F54D8F" w14:paraId="7BC138AE"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B36D0AF" w14:textId="77777777" w:rsidR="00F54D8F" w:rsidRDefault="00000000">
            <w:pPr>
              <w:jc w:val="center"/>
            </w:pPr>
            <w:r>
              <w:rPr>
                <w:rFonts w:eastAsia="SimSun"/>
                <w:sz w:val="20"/>
              </w:rPr>
              <w:t>Top 10%</w:t>
            </w:r>
          </w:p>
        </w:tc>
        <w:tc>
          <w:tcPr>
            <w:tcW w:w="1568" w:type="dxa"/>
          </w:tcPr>
          <w:p w14:paraId="60F0AA15"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全窗</w:t>
            </w:r>
          </w:p>
        </w:tc>
        <w:tc>
          <w:tcPr>
            <w:tcW w:w="1568" w:type="dxa"/>
          </w:tcPr>
          <w:p w14:paraId="0BB9BFAC"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0.83</w:t>
            </w:r>
          </w:p>
        </w:tc>
        <w:tc>
          <w:tcPr>
            <w:tcW w:w="1568" w:type="dxa"/>
          </w:tcPr>
          <w:p w14:paraId="6FFAED5E"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1.79%</w:t>
            </w:r>
          </w:p>
        </w:tc>
        <w:tc>
          <w:tcPr>
            <w:tcW w:w="1568" w:type="dxa"/>
          </w:tcPr>
          <w:p w14:paraId="08711EB8"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-3.77%</w:t>
            </w:r>
          </w:p>
        </w:tc>
        <w:tc>
          <w:tcPr>
            <w:tcW w:w="1568" w:type="dxa"/>
          </w:tcPr>
          <w:p w14:paraId="76B43E26"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150</w:t>
            </w:r>
          </w:p>
        </w:tc>
      </w:tr>
      <w:tr w:rsidR="00F54D8F" w14:paraId="6005BADC"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EA8553C" w14:textId="77777777" w:rsidR="00F54D8F" w:rsidRDefault="00000000">
            <w:pPr>
              <w:jc w:val="center"/>
            </w:pPr>
            <w:r>
              <w:rPr>
                <w:rFonts w:eastAsia="SimSun"/>
                <w:sz w:val="20"/>
              </w:rPr>
              <w:t>Top 20%</w:t>
            </w:r>
          </w:p>
        </w:tc>
        <w:tc>
          <w:tcPr>
            <w:tcW w:w="1568" w:type="dxa"/>
          </w:tcPr>
          <w:p w14:paraId="5ADAB98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IS</w:t>
            </w:r>
          </w:p>
        </w:tc>
        <w:tc>
          <w:tcPr>
            <w:tcW w:w="1568" w:type="dxa"/>
          </w:tcPr>
          <w:p w14:paraId="140C955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1.00</w:t>
            </w:r>
          </w:p>
        </w:tc>
        <w:tc>
          <w:tcPr>
            <w:tcW w:w="1568" w:type="dxa"/>
          </w:tcPr>
          <w:p w14:paraId="41C9D28B"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3.48%</w:t>
            </w:r>
          </w:p>
        </w:tc>
        <w:tc>
          <w:tcPr>
            <w:tcW w:w="1568" w:type="dxa"/>
          </w:tcPr>
          <w:p w14:paraId="769EF137"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-5.24%</w:t>
            </w:r>
          </w:p>
        </w:tc>
        <w:tc>
          <w:tcPr>
            <w:tcW w:w="1568" w:type="dxa"/>
          </w:tcPr>
          <w:p w14:paraId="4A98B933"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w:t>
            </w:r>
          </w:p>
        </w:tc>
      </w:tr>
      <w:tr w:rsidR="00F54D8F" w14:paraId="0BE1726F"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6DE61E3" w14:textId="77777777" w:rsidR="00F54D8F" w:rsidRDefault="00000000">
            <w:pPr>
              <w:jc w:val="center"/>
            </w:pPr>
            <w:r>
              <w:rPr>
                <w:rFonts w:eastAsia="SimSun"/>
                <w:sz w:val="20"/>
              </w:rPr>
              <w:t>Top 20%</w:t>
            </w:r>
          </w:p>
        </w:tc>
        <w:tc>
          <w:tcPr>
            <w:tcW w:w="1568" w:type="dxa"/>
          </w:tcPr>
          <w:p w14:paraId="2C5E24BF"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OOS</w:t>
            </w:r>
          </w:p>
        </w:tc>
        <w:tc>
          <w:tcPr>
            <w:tcW w:w="1568" w:type="dxa"/>
          </w:tcPr>
          <w:p w14:paraId="32B480B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2.07</w:t>
            </w:r>
          </w:p>
        </w:tc>
        <w:tc>
          <w:tcPr>
            <w:tcW w:w="1568" w:type="dxa"/>
          </w:tcPr>
          <w:p w14:paraId="51BAB15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2.07%</w:t>
            </w:r>
          </w:p>
        </w:tc>
        <w:tc>
          <w:tcPr>
            <w:tcW w:w="1568" w:type="dxa"/>
          </w:tcPr>
          <w:p w14:paraId="02322DAD"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-0.90%</w:t>
            </w:r>
          </w:p>
        </w:tc>
        <w:tc>
          <w:tcPr>
            <w:tcW w:w="1568" w:type="dxa"/>
          </w:tcPr>
          <w:p w14:paraId="5A0EFBDF"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w:t>
            </w:r>
          </w:p>
        </w:tc>
      </w:tr>
      <w:tr w:rsidR="00F54D8F" w14:paraId="44E78E2B"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2EFBD53" w14:textId="77777777" w:rsidR="00F54D8F" w:rsidRDefault="00000000">
            <w:pPr>
              <w:jc w:val="center"/>
            </w:pPr>
            <w:r>
              <w:rPr>
                <w:rFonts w:eastAsia="SimSun"/>
                <w:sz w:val="20"/>
              </w:rPr>
              <w:t>Top 20%</w:t>
            </w:r>
          </w:p>
        </w:tc>
        <w:tc>
          <w:tcPr>
            <w:tcW w:w="1568" w:type="dxa"/>
          </w:tcPr>
          <w:p w14:paraId="223F116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全窗</w:t>
            </w:r>
          </w:p>
        </w:tc>
        <w:tc>
          <w:tcPr>
            <w:tcW w:w="1568" w:type="dxa"/>
          </w:tcPr>
          <w:p w14:paraId="688BD770"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1.01</w:t>
            </w:r>
          </w:p>
        </w:tc>
        <w:tc>
          <w:tcPr>
            <w:tcW w:w="1568" w:type="dxa"/>
          </w:tcPr>
          <w:p w14:paraId="57D4CBE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3.09%</w:t>
            </w:r>
          </w:p>
        </w:tc>
        <w:tc>
          <w:tcPr>
            <w:tcW w:w="1568" w:type="dxa"/>
          </w:tcPr>
          <w:p w14:paraId="199F9CE3"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-5.24%</w:t>
            </w:r>
          </w:p>
        </w:tc>
        <w:tc>
          <w:tcPr>
            <w:tcW w:w="1568" w:type="dxa"/>
          </w:tcPr>
          <w:p w14:paraId="1B5271E1"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145</w:t>
            </w:r>
          </w:p>
        </w:tc>
      </w:tr>
    </w:tbl>
    <w:p w14:paraId="0245E1C4" w14:textId="77777777" w:rsidR="00F54D8F" w:rsidRDefault="00000000">
      <w:pPr>
        <w:pStyle w:val="Heading2"/>
      </w:pPr>
      <w:r>
        <w:rPr>
          <w:rFonts w:ascii="SimHei" w:eastAsia="SimHei" w:hAnsi="SimHei"/>
        </w:rPr>
        <w:t>3.3 参照对比：15 只固定池子的旧版 baseline</w:t>
      </w:r>
    </w:p>
    <w:p w14:paraId="4DF2BD05" w14:textId="77777777" w:rsidR="00F54D8F" w:rsidRDefault="00000000">
      <w:pPr>
        <w:spacing w:after="80" w:line="336" w:lineRule="auto"/>
        <w:ind w:firstLine="454"/>
        <w:rPr>
          <w:lang w:eastAsia="zh-CN"/>
        </w:rPr>
      </w:pPr>
      <w:r>
        <w:rPr>
          <w:rFonts w:eastAsia="SimSun"/>
          <w:lang w:eastAsia="zh-CN"/>
        </w:rPr>
        <w:t xml:space="preserve">为了给 v6 baseline 的夏普数字提供一个锚点，我们把旧版本策略的表现列在这里作为参照。旧版本使用固定 15 只 ETF 的池子，从中每期挑选 Top-5 作为多头持仓，权重按 </w:t>
      </w:r>
      <w:r>
        <w:rPr>
          <w:rFonts w:eastAsia="SimSun"/>
        </w:rPr>
        <w:t>α</w:t>
      </w:r>
      <w:r>
        <w:rPr>
          <w:rFonts w:eastAsia="SimSun"/>
          <w:lang w:eastAsia="zh-CN"/>
        </w:rPr>
        <w:t xml:space="preserve"> 值成正比分配（</w:t>
      </w:r>
      <w:r>
        <w:rPr>
          <w:rFonts w:eastAsia="SimSun"/>
        </w:rPr>
        <w:t>α</w:t>
      </w:r>
      <w:r>
        <w:rPr>
          <w:rFonts w:eastAsia="SimSun"/>
          <w:lang w:eastAsia="zh-CN"/>
        </w:rPr>
        <w:t>-proportional），而非本报告使用的 1/</w:t>
      </w:r>
      <w:r>
        <w:rPr>
          <w:rFonts w:eastAsia="SimSun"/>
        </w:rPr>
        <w:t>σ</w:t>
      </w:r>
      <w:r>
        <w:rPr>
          <w:rFonts w:eastAsia="SimSun"/>
          <w:lang w:eastAsia="zh-CN"/>
        </w:rPr>
        <w:t xml:space="preserve"> 反比。两者的差异既包括“池子有多大”，也包括“权重方案”，因此对比只是数量级参照，并不等同于纯粹的池子扩容效应。</w:t>
      </w:r>
    </w:p>
    <w:p w14:paraId="744A5816" w14:textId="77777777" w:rsidR="00F54D8F" w:rsidRDefault="00000000">
      <w:pPr>
        <w:spacing w:after="80" w:line="336" w:lineRule="auto"/>
        <w:ind w:firstLine="454"/>
        <w:rPr>
          <w:lang w:eastAsia="zh-CN"/>
        </w:rPr>
      </w:pPr>
      <w:r>
        <w:rPr>
          <w:rFonts w:eastAsia="SimSun"/>
          <w:lang w:eastAsia="zh-CN"/>
        </w:rPr>
        <w:t>旧版 baseline 的表现：样本内净夏普 1.18，样本外 1.62，全窗 1.11；最大回撤 -5.64%，平均单边换手 0.25。</w:t>
      </w:r>
    </w:p>
    <w:p w14:paraId="63222AB8" w14:textId="77777777" w:rsidR="00F54D8F" w:rsidRDefault="00000000">
      <w:pPr>
        <w:jc w:val="center"/>
      </w:pPr>
      <w:r>
        <w:rPr>
          <w:noProof/>
        </w:rPr>
        <w:lastRenderedPageBreak/>
        <w:drawing>
          <wp:inline distT="0" distB="0" distL="0" distR="0" wp14:anchorId="2AE09EA5" wp14:editId="0632EB2C">
            <wp:extent cx="5580000" cy="26712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v4_vs_v6.png"/>
                    <pic:cNvPicPr/>
                  </pic:nvPicPr>
                  <pic:blipFill>
                    <a:blip r:embed="rId13"/>
                    <a:stretch>
                      <a:fillRect/>
                    </a:stretch>
                  </pic:blipFill>
                  <pic:spPr>
                    <a:xfrm>
                      <a:off x="0" y="0"/>
                      <a:ext cx="5580000" cy="2671277"/>
                    </a:xfrm>
                    <a:prstGeom prst="rect">
                      <a:avLst/>
                    </a:prstGeom>
                  </pic:spPr>
                </pic:pic>
              </a:graphicData>
            </a:graphic>
          </wp:inline>
        </w:drawing>
      </w:r>
    </w:p>
    <w:p w14:paraId="30CDAFE2" w14:textId="77777777" w:rsidR="00F54D8F" w:rsidRDefault="00000000">
      <w:pPr>
        <w:jc w:val="center"/>
      </w:pPr>
      <w:r>
        <w:rPr>
          <w:rFonts w:eastAsia="SimSun"/>
          <w:color w:val="666666"/>
          <w:sz w:val="18"/>
        </w:rPr>
        <w:t>图 8  旧版（15 只）baseline vs v6 三个 baseline 的净夏普对比</w:t>
      </w:r>
    </w:p>
    <w:p w14:paraId="5DE13F2D" w14:textId="77777777" w:rsidR="00F54D8F" w:rsidRDefault="00000000">
      <w:pPr>
        <w:spacing w:after="80" w:line="336" w:lineRule="auto"/>
        <w:ind w:firstLine="454"/>
      </w:pPr>
      <w:r>
        <w:rPr>
          <w:rFonts w:eastAsia="SimSun"/>
        </w:rPr>
        <w:t>读图要点：</w:t>
      </w:r>
    </w:p>
    <w:p w14:paraId="25418587" w14:textId="77777777" w:rsidR="00F54D8F" w:rsidRDefault="00000000">
      <w:pPr>
        <w:pStyle w:val="ListBullet"/>
        <w:spacing w:after="40" w:line="312" w:lineRule="auto"/>
        <w:rPr>
          <w:lang w:eastAsia="zh-CN"/>
        </w:rPr>
      </w:pPr>
      <w:r>
        <w:rPr>
          <w:rFonts w:eastAsia="SimSun"/>
          <w:lang w:eastAsia="zh-CN"/>
        </w:rPr>
        <w:t>全窗净夏普层面，旧版 baseline 为 1.11，v6 三个 baseline 分别为 0.97 / 0.83 / 1.01，整体处于同一量级——单纯把池子从 15 只扩容到 344 只并不能自动带来全窗夏普的抬升。</w:t>
      </w:r>
    </w:p>
    <w:p w14:paraId="5DAC6043" w14:textId="77777777" w:rsidR="00F54D8F" w:rsidRDefault="00000000">
      <w:pPr>
        <w:pStyle w:val="ListBullet"/>
        <w:spacing w:after="40" w:line="312" w:lineRule="auto"/>
        <w:rPr>
          <w:lang w:eastAsia="zh-CN"/>
        </w:rPr>
      </w:pPr>
      <w:r>
        <w:rPr>
          <w:rFonts w:eastAsia="SimSun"/>
          <w:lang w:eastAsia="zh-CN"/>
        </w:rPr>
        <w:t>但样本外净夏普层面，v6 的 Top 10% 与 Top 20% 分别为 1.47 与 2.07，都明显高于旧版 baseline 的 1.62（Top 20% 尤其突出）。这说明池子扩容 + 波动率反比配权对“样本外稳定性”的贡献是实质性的，只是在窗口平均后被样本内更弱的表现所抵消。</w:t>
      </w:r>
    </w:p>
    <w:p w14:paraId="38F5CA79" w14:textId="77777777" w:rsidR="00F54D8F" w:rsidRDefault="00000000">
      <w:pPr>
        <w:pStyle w:val="ListBullet"/>
        <w:spacing w:after="40" w:line="312" w:lineRule="auto"/>
        <w:rPr>
          <w:lang w:eastAsia="zh-CN"/>
        </w:rPr>
      </w:pPr>
      <w:r>
        <w:rPr>
          <w:rFonts w:eastAsia="SimSun"/>
          <w:lang w:eastAsia="zh-CN"/>
        </w:rPr>
        <w:t xml:space="preserve">Top 5% 的样本外净夏普 0.59 明显低于旧版，主要问题是选股集中度过高时边界名字换手更频繁，成本吞掉了大部分 </w:t>
      </w:r>
      <w:r>
        <w:rPr>
          <w:rFonts w:eastAsia="SimSun"/>
        </w:rPr>
        <w:t>α</w:t>
      </w:r>
      <w:r>
        <w:rPr>
          <w:rFonts w:eastAsia="SimSun"/>
          <w:lang w:eastAsia="zh-CN"/>
        </w:rPr>
        <w:t>；下一章的 hysteresis 就是针对这一点做的直接修复。</w:t>
      </w:r>
    </w:p>
    <w:p w14:paraId="48655F85" w14:textId="77777777" w:rsidR="00F54D8F" w:rsidRDefault="00000000">
      <w:pPr>
        <w:pStyle w:val="Heading1"/>
        <w:rPr>
          <w:lang w:eastAsia="zh-CN"/>
        </w:rPr>
      </w:pPr>
      <w:r>
        <w:rPr>
          <w:rFonts w:ascii="SimHei" w:eastAsia="SimHei" w:hAnsi="SimHei"/>
          <w:lang w:eastAsia="zh-CN"/>
        </w:rPr>
        <w:t>四、周度调仓成本问题与 hysteresis 迟滞机制</w:t>
      </w:r>
    </w:p>
    <w:p w14:paraId="740E49CE" w14:textId="77777777" w:rsidR="00F54D8F" w:rsidRDefault="00000000">
      <w:pPr>
        <w:pStyle w:val="Heading2"/>
        <w:rPr>
          <w:lang w:eastAsia="zh-CN"/>
        </w:rPr>
      </w:pPr>
      <w:r>
        <w:rPr>
          <w:rFonts w:ascii="SimHei" w:eastAsia="SimHei" w:hAnsi="SimHei"/>
          <w:lang w:eastAsia="zh-CN"/>
        </w:rPr>
        <w:t>4.1 成本问题：换手主要来自选股</w:t>
      </w:r>
    </w:p>
    <w:p w14:paraId="63325187" w14:textId="77777777" w:rsidR="00F54D8F" w:rsidRDefault="00000000">
      <w:pPr>
        <w:spacing w:after="80" w:line="336" w:lineRule="auto"/>
        <w:ind w:firstLine="454"/>
        <w:rPr>
          <w:lang w:eastAsia="zh-CN"/>
        </w:rPr>
      </w:pPr>
      <w:r>
        <w:rPr>
          <w:rFonts w:eastAsia="SimSun"/>
          <w:lang w:eastAsia="zh-CN"/>
        </w:rPr>
        <w:t>回顾 baseline 的换手结构（图 15 灰色 &amp; 淡灰色柱）：三个 cell 的总换手都在 27–29% 之间，其中约 85–87% 属于“选股换手”（名字跨越 Top-K 边界所致），仅 13–15% 来自权重调整（</w:t>
      </w:r>
      <w:r>
        <w:rPr>
          <w:rFonts w:eastAsia="SimSun"/>
        </w:rPr>
        <w:t>σ</w:t>
      </w:r>
      <w:r>
        <w:rPr>
          <w:rFonts w:eastAsia="SimSun"/>
          <w:lang w:eastAsia="zh-CN"/>
        </w:rPr>
        <w:t xml:space="preserve"> 漂移与协持仓再归一化）。换算成年化成本，baseline 每年要付出约 145–152 bps 的交易费——对应约 30–45% 的毛收益被成本吃掉。</w:t>
      </w:r>
    </w:p>
    <w:p w14:paraId="1C6EA540" w14:textId="77777777" w:rsidR="00F54D8F" w:rsidRDefault="00000000">
      <w:pPr>
        <w:spacing w:after="80" w:line="336" w:lineRule="auto"/>
        <w:ind w:firstLine="454"/>
        <w:rPr>
          <w:lang w:eastAsia="zh-CN"/>
        </w:rPr>
      </w:pPr>
      <w:r>
        <w:rPr>
          <w:rFonts w:eastAsia="SimSun"/>
          <w:lang w:eastAsia="zh-CN"/>
        </w:rPr>
        <w:t xml:space="preserve">进一步诊断表明，选股换手中有 71–77% 属于“短周期往返”：同一名字在 ≤ 4 周内先退出再重新纳入。这类往返对最终 </w:t>
      </w:r>
      <w:r>
        <w:rPr>
          <w:rFonts w:eastAsia="SimSun"/>
        </w:rPr>
        <w:t>α</w:t>
      </w:r>
      <w:r>
        <w:rPr>
          <w:rFonts w:eastAsia="SimSun"/>
          <w:lang w:eastAsia="zh-CN"/>
        </w:rPr>
        <w:t xml:space="preserve"> 几乎没有贡献，却把成本白白吃掉——正是 hysteresis 机制的天然攻击目标。</w:t>
      </w:r>
    </w:p>
    <w:p w14:paraId="5BC64FBB" w14:textId="77777777" w:rsidR="00F54D8F" w:rsidRDefault="00000000">
      <w:pPr>
        <w:pStyle w:val="Heading2"/>
        <w:rPr>
          <w:lang w:eastAsia="zh-CN"/>
        </w:rPr>
      </w:pPr>
      <w:r>
        <w:rPr>
          <w:rFonts w:ascii="SimHei" w:eastAsia="SimHei" w:hAnsi="SimHei"/>
          <w:lang w:eastAsia="zh-CN"/>
        </w:rPr>
        <w:lastRenderedPageBreak/>
        <w:t>4.2 什么是 hysteresis（迟滞）</w:t>
      </w:r>
    </w:p>
    <w:p w14:paraId="61ED9DB6" w14:textId="77777777" w:rsidR="00F54D8F" w:rsidRDefault="00000000">
      <w:pPr>
        <w:spacing w:after="80" w:line="336" w:lineRule="auto"/>
        <w:ind w:firstLine="454"/>
      </w:pPr>
      <w:r>
        <w:rPr>
          <w:rFonts w:eastAsia="SimSun"/>
          <w:lang w:eastAsia="zh-CN"/>
        </w:rPr>
        <w:t>迟滞机制的核心思想很直接：进出边界不设成同一条线，而是设置一段缓冲带，只有当秩明显跌破缓冲带下沿时才被剔除；否则维持持有。</w:t>
      </w:r>
      <w:r>
        <w:rPr>
          <w:rFonts w:eastAsia="SimSun"/>
        </w:rPr>
        <w:t>具体实现方式有两种：</w:t>
      </w:r>
    </w:p>
    <w:p w14:paraId="73C834B8" w14:textId="77777777" w:rsidR="00F54D8F" w:rsidRDefault="00000000">
      <w:pPr>
        <w:pStyle w:val="ListBullet"/>
        <w:spacing w:after="40" w:line="312" w:lineRule="auto"/>
        <w:rPr>
          <w:lang w:eastAsia="zh-CN"/>
        </w:rPr>
      </w:pPr>
      <w:r>
        <w:rPr>
          <w:rFonts w:eastAsia="SimSun"/>
          <w:lang w:eastAsia="zh-CN"/>
        </w:rPr>
        <w:t>buffer 规则（可变仓位数）：进入门槛仍为 rank ≤ K，但退出门槛放宽到 rank &gt; ExitK = ⌈(1+</w:t>
      </w:r>
      <w:r>
        <w:rPr>
          <w:rFonts w:eastAsia="SimSun"/>
        </w:rPr>
        <w:t>ε</w:t>
      </w:r>
      <w:r>
        <w:rPr>
          <w:rFonts w:eastAsia="SimSun"/>
          <w:lang w:eastAsia="zh-CN"/>
        </w:rPr>
        <w:t>) · K⌉。已持仓的名字只要秩落在 (K, ExitK] 都会继续留下，因此实际持仓数会在 [K, K + 缓冲带内的老仓位数] 之间浮动。</w:t>
      </w:r>
    </w:p>
    <w:p w14:paraId="629B5C5F" w14:textId="77777777" w:rsidR="00F54D8F" w:rsidRDefault="00000000">
      <w:pPr>
        <w:pStyle w:val="ListBullet"/>
        <w:spacing w:after="40" w:line="312" w:lineRule="auto"/>
        <w:rPr>
          <w:lang w:eastAsia="zh-CN"/>
        </w:rPr>
      </w:pPr>
      <w:r>
        <w:rPr>
          <w:rFonts w:eastAsia="SimSun"/>
          <w:lang w:eastAsia="zh-CN"/>
        </w:rPr>
        <w:t>replace 规则（定仓位数）：只在秩滑出 ExitK 时才剔除一只，并从当期非持仓中按秩从高到低补进一只，保持 |held| ≡ K；如无老仓位被剔除，则维持成分不变（权重仍每周按 1/</w:t>
      </w:r>
      <w:r>
        <w:rPr>
          <w:rFonts w:eastAsia="SimSun"/>
        </w:rPr>
        <w:t>σ</w:t>
      </w:r>
      <w:r>
        <w:rPr>
          <w:rFonts w:eastAsia="SimSun"/>
          <w:lang w:eastAsia="zh-CN"/>
        </w:rPr>
        <w:t xml:space="preserve"> 刷新）。</w:t>
      </w:r>
    </w:p>
    <w:p w14:paraId="7D338725" w14:textId="77777777" w:rsidR="00F54D8F" w:rsidRDefault="00000000">
      <w:pPr>
        <w:spacing w:after="80" w:line="336" w:lineRule="auto"/>
        <w:ind w:firstLine="454"/>
      </w:pPr>
      <w:r>
        <w:rPr>
          <w:rFonts w:eastAsia="SimSun"/>
        </w:rPr>
        <w:t>在完整的 ε 扫格实验中，replace 规则在三个 cell 上都优于 buffer 规则，原因是 buffer 会把权重给到缓冲带内的“较差”名字（毛 α 更低），从而系统性地拉低毛夏普；而 replace 保持 K 不变，每个仓位平均 α 水平几乎不动，只是替换了具体名字。</w:t>
      </w:r>
    </w:p>
    <w:p w14:paraId="3CD48017" w14:textId="77777777" w:rsidR="00F54D8F" w:rsidRDefault="00000000">
      <w:pPr>
        <w:pStyle w:val="Heading2"/>
      </w:pPr>
      <w:r>
        <w:rPr>
          <w:rFonts w:ascii="SimHei" w:eastAsia="SimHei" w:hAnsi="SimHei"/>
        </w:rPr>
        <w:t>4.3 各 cell 的最优 ε 选择</w:t>
      </w:r>
    </w:p>
    <w:p w14:paraId="3F42D08A" w14:textId="77777777" w:rsidR="00F54D8F" w:rsidRDefault="00000000">
      <w:pPr>
        <w:spacing w:after="80" w:line="336" w:lineRule="auto"/>
        <w:ind w:firstLine="454"/>
      </w:pPr>
      <w:r>
        <w:rPr>
          <w:rFonts w:eastAsia="SimSun"/>
        </w:rPr>
        <w:t>以“全窗净夏普”为选优目标，各 cell 的 replace 最优 ε 如下：</w:t>
      </w:r>
    </w:p>
    <w:tbl>
      <w:tblPr>
        <w:tblStyle w:val="LightGrid-Accent1"/>
        <w:tblW w:w="0" w:type="auto"/>
        <w:jc w:val="center"/>
        <w:tblLook w:val="04A0" w:firstRow="1" w:lastRow="0" w:firstColumn="1" w:lastColumn="0" w:noHBand="0" w:noVBand="1"/>
      </w:tblPr>
      <w:tblGrid>
        <w:gridCol w:w="2268"/>
        <w:gridCol w:w="3402"/>
      </w:tblGrid>
      <w:tr w:rsidR="00F54D8F" w14:paraId="26827457" w14:textId="77777777" w:rsidTr="00F54D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472457" w14:textId="77777777" w:rsidR="00F54D8F" w:rsidRDefault="00000000">
            <w:pPr>
              <w:jc w:val="center"/>
            </w:pPr>
            <w:r>
              <w:rPr>
                <w:rFonts w:eastAsia="SimSun"/>
                <w:sz w:val="20"/>
              </w:rPr>
              <w:t>方案</w:t>
            </w:r>
          </w:p>
        </w:tc>
        <w:tc>
          <w:tcPr>
            <w:tcW w:w="3402" w:type="dxa"/>
          </w:tcPr>
          <w:p w14:paraId="2149C7CB"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hysteresis 规则</w:t>
            </w:r>
          </w:p>
        </w:tc>
      </w:tr>
      <w:tr w:rsidR="00F54D8F" w14:paraId="0F27A058"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5B5F86B" w14:textId="77777777" w:rsidR="00F54D8F" w:rsidRDefault="00000000">
            <w:pPr>
              <w:jc w:val="center"/>
            </w:pPr>
            <w:r>
              <w:rPr>
                <w:rFonts w:eastAsia="SimSun"/>
                <w:sz w:val="20"/>
              </w:rPr>
              <w:t>Top 5%</w:t>
            </w:r>
          </w:p>
        </w:tc>
        <w:tc>
          <w:tcPr>
            <w:tcW w:w="3402" w:type="dxa"/>
          </w:tcPr>
          <w:p w14:paraId="61081C04"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replace, ε = 0.30</w:t>
            </w:r>
          </w:p>
        </w:tc>
      </w:tr>
      <w:tr w:rsidR="00F54D8F" w14:paraId="136352FB"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3F101B" w14:textId="77777777" w:rsidR="00F54D8F" w:rsidRDefault="00000000">
            <w:pPr>
              <w:jc w:val="center"/>
            </w:pPr>
            <w:r>
              <w:rPr>
                <w:rFonts w:eastAsia="SimSun"/>
                <w:sz w:val="20"/>
              </w:rPr>
              <w:t>Top 10%</w:t>
            </w:r>
          </w:p>
        </w:tc>
        <w:tc>
          <w:tcPr>
            <w:tcW w:w="3402" w:type="dxa"/>
          </w:tcPr>
          <w:p w14:paraId="5459C83B"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replace, ε = 0.50</w:t>
            </w:r>
          </w:p>
        </w:tc>
      </w:tr>
      <w:tr w:rsidR="00F54D8F" w14:paraId="1C8458F0"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732EF7" w14:textId="77777777" w:rsidR="00F54D8F" w:rsidRDefault="00000000">
            <w:pPr>
              <w:jc w:val="center"/>
            </w:pPr>
            <w:r>
              <w:rPr>
                <w:rFonts w:eastAsia="SimSun"/>
                <w:sz w:val="20"/>
              </w:rPr>
              <w:t>Top 20%</w:t>
            </w:r>
          </w:p>
        </w:tc>
        <w:tc>
          <w:tcPr>
            <w:tcW w:w="3402" w:type="dxa"/>
          </w:tcPr>
          <w:p w14:paraId="31DD940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replace, ε = 0.20</w:t>
            </w:r>
          </w:p>
        </w:tc>
      </w:tr>
    </w:tbl>
    <w:p w14:paraId="1C54AFDA" w14:textId="77777777" w:rsidR="00F54D8F" w:rsidRDefault="00000000">
      <w:pPr>
        <w:pStyle w:val="Heading1"/>
      </w:pPr>
      <w:r>
        <w:rPr>
          <w:rFonts w:ascii="SimHei" w:eastAsia="SimHei" w:hAnsi="SimHei"/>
        </w:rPr>
        <w:t>五、加入 hysteresis 前后的回测对比</w:t>
      </w:r>
    </w:p>
    <w:p w14:paraId="77EB0EAA" w14:textId="77777777" w:rsidR="00F54D8F" w:rsidRDefault="00000000">
      <w:pPr>
        <w:pStyle w:val="Heading2"/>
      </w:pPr>
      <w:r>
        <w:rPr>
          <w:rFonts w:ascii="SimHei" w:eastAsia="SimHei" w:hAnsi="SimHei"/>
        </w:rPr>
        <w:t>5.1 净值与回撤对比（分 cell）</w:t>
      </w:r>
    </w:p>
    <w:p w14:paraId="0F9E931C" w14:textId="77777777" w:rsidR="00F54D8F" w:rsidRDefault="00000000">
      <w:pPr>
        <w:spacing w:after="80" w:line="336" w:lineRule="auto"/>
        <w:ind w:firstLine="454"/>
      </w:pPr>
      <w:r>
        <w:rPr>
          <w:rFonts w:eastAsia="SimSun"/>
        </w:rPr>
        <w:t>对三个 cell 分别绘制加入 hysteresis 前后的净值与回撤路径，可以看到：hysteresis 版本的净值曲线一致地位于 baseline 上方，而回撤路径几乎完全被 baseline “罩住”——即回撤幅度和持续时间都更浅。</w:t>
      </w:r>
    </w:p>
    <w:p w14:paraId="517E5CAE" w14:textId="77777777" w:rsidR="00F54D8F" w:rsidRDefault="00000000">
      <w:pPr>
        <w:jc w:val="center"/>
      </w:pPr>
      <w:r>
        <w:rPr>
          <w:noProof/>
        </w:rPr>
        <w:lastRenderedPageBreak/>
        <w:drawing>
          <wp:inline distT="0" distB="0" distL="0" distR="0" wp14:anchorId="6A74B88B" wp14:editId="1AD8AA3A">
            <wp:extent cx="5580000" cy="27610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nav_q05.png"/>
                    <pic:cNvPicPr/>
                  </pic:nvPicPr>
                  <pic:blipFill>
                    <a:blip r:embed="rId14"/>
                    <a:stretch>
                      <a:fillRect/>
                    </a:stretch>
                  </pic:blipFill>
                  <pic:spPr>
                    <a:xfrm>
                      <a:off x="0" y="0"/>
                      <a:ext cx="5580000" cy="2761038"/>
                    </a:xfrm>
                    <a:prstGeom prst="rect">
                      <a:avLst/>
                    </a:prstGeom>
                  </pic:spPr>
                </pic:pic>
              </a:graphicData>
            </a:graphic>
          </wp:inline>
        </w:drawing>
      </w:r>
    </w:p>
    <w:p w14:paraId="77B6724C" w14:textId="77777777" w:rsidR="00F54D8F" w:rsidRDefault="00000000">
      <w:pPr>
        <w:jc w:val="center"/>
      </w:pPr>
      <w:r>
        <w:rPr>
          <w:rFonts w:eastAsia="SimSun"/>
          <w:color w:val="666666"/>
          <w:sz w:val="18"/>
        </w:rPr>
        <w:t>图 9  Top 5% 净值：baseline vs hysteresis</w:t>
      </w:r>
    </w:p>
    <w:p w14:paraId="2D4BCDD0" w14:textId="77777777" w:rsidR="00F54D8F" w:rsidRDefault="00000000">
      <w:pPr>
        <w:jc w:val="center"/>
      </w:pPr>
      <w:r>
        <w:rPr>
          <w:noProof/>
        </w:rPr>
        <w:drawing>
          <wp:inline distT="0" distB="0" distL="0" distR="0" wp14:anchorId="050744F9" wp14:editId="02EDA607">
            <wp:extent cx="5580000" cy="27610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d_q05.png"/>
                    <pic:cNvPicPr/>
                  </pic:nvPicPr>
                  <pic:blipFill>
                    <a:blip r:embed="rId15"/>
                    <a:stretch>
                      <a:fillRect/>
                    </a:stretch>
                  </pic:blipFill>
                  <pic:spPr>
                    <a:xfrm>
                      <a:off x="0" y="0"/>
                      <a:ext cx="5580000" cy="2761038"/>
                    </a:xfrm>
                    <a:prstGeom prst="rect">
                      <a:avLst/>
                    </a:prstGeom>
                  </pic:spPr>
                </pic:pic>
              </a:graphicData>
            </a:graphic>
          </wp:inline>
        </w:drawing>
      </w:r>
    </w:p>
    <w:p w14:paraId="5023764F" w14:textId="77777777" w:rsidR="00F54D8F" w:rsidRDefault="00000000">
      <w:pPr>
        <w:jc w:val="center"/>
      </w:pPr>
      <w:r>
        <w:rPr>
          <w:rFonts w:eastAsia="SimSun"/>
          <w:color w:val="666666"/>
          <w:sz w:val="18"/>
        </w:rPr>
        <w:t>图 10 Top 5% 回撤：baseline vs hysteresis</w:t>
      </w:r>
    </w:p>
    <w:p w14:paraId="7B7E950E" w14:textId="77777777" w:rsidR="00F54D8F" w:rsidRDefault="00000000">
      <w:pPr>
        <w:jc w:val="center"/>
      </w:pPr>
      <w:r>
        <w:rPr>
          <w:noProof/>
        </w:rPr>
        <w:lastRenderedPageBreak/>
        <w:drawing>
          <wp:inline distT="0" distB="0" distL="0" distR="0" wp14:anchorId="72071C67" wp14:editId="15D98EAA">
            <wp:extent cx="5580000" cy="27610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nav_q10.png"/>
                    <pic:cNvPicPr/>
                  </pic:nvPicPr>
                  <pic:blipFill>
                    <a:blip r:embed="rId16"/>
                    <a:stretch>
                      <a:fillRect/>
                    </a:stretch>
                  </pic:blipFill>
                  <pic:spPr>
                    <a:xfrm>
                      <a:off x="0" y="0"/>
                      <a:ext cx="5580000" cy="2761038"/>
                    </a:xfrm>
                    <a:prstGeom prst="rect">
                      <a:avLst/>
                    </a:prstGeom>
                  </pic:spPr>
                </pic:pic>
              </a:graphicData>
            </a:graphic>
          </wp:inline>
        </w:drawing>
      </w:r>
    </w:p>
    <w:p w14:paraId="42292A8E" w14:textId="77777777" w:rsidR="00F54D8F" w:rsidRDefault="00000000">
      <w:pPr>
        <w:jc w:val="center"/>
      </w:pPr>
      <w:r>
        <w:rPr>
          <w:rFonts w:eastAsia="SimSun"/>
          <w:color w:val="666666"/>
          <w:sz w:val="18"/>
        </w:rPr>
        <w:t>图 11 Top 10% 净值：baseline vs hysteresis</w:t>
      </w:r>
    </w:p>
    <w:p w14:paraId="405255CA" w14:textId="77777777" w:rsidR="00F54D8F" w:rsidRDefault="00000000">
      <w:pPr>
        <w:jc w:val="center"/>
      </w:pPr>
      <w:r>
        <w:rPr>
          <w:noProof/>
        </w:rPr>
        <w:drawing>
          <wp:inline distT="0" distB="0" distL="0" distR="0" wp14:anchorId="5642C1BC" wp14:editId="5A0F290E">
            <wp:extent cx="5580000" cy="27610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d_q10.png"/>
                    <pic:cNvPicPr/>
                  </pic:nvPicPr>
                  <pic:blipFill>
                    <a:blip r:embed="rId17"/>
                    <a:stretch>
                      <a:fillRect/>
                    </a:stretch>
                  </pic:blipFill>
                  <pic:spPr>
                    <a:xfrm>
                      <a:off x="0" y="0"/>
                      <a:ext cx="5580000" cy="2761038"/>
                    </a:xfrm>
                    <a:prstGeom prst="rect">
                      <a:avLst/>
                    </a:prstGeom>
                  </pic:spPr>
                </pic:pic>
              </a:graphicData>
            </a:graphic>
          </wp:inline>
        </w:drawing>
      </w:r>
    </w:p>
    <w:p w14:paraId="31B1F5CF" w14:textId="77777777" w:rsidR="00F54D8F" w:rsidRDefault="00000000">
      <w:pPr>
        <w:jc w:val="center"/>
      </w:pPr>
      <w:r>
        <w:rPr>
          <w:rFonts w:eastAsia="SimSun"/>
          <w:color w:val="666666"/>
          <w:sz w:val="18"/>
        </w:rPr>
        <w:t>图 12 Top 10% 回撤：baseline vs hysteresis</w:t>
      </w:r>
    </w:p>
    <w:p w14:paraId="132FCE5C" w14:textId="77777777" w:rsidR="00F54D8F" w:rsidRDefault="00000000">
      <w:pPr>
        <w:jc w:val="center"/>
      </w:pPr>
      <w:r>
        <w:rPr>
          <w:noProof/>
        </w:rPr>
        <w:lastRenderedPageBreak/>
        <w:drawing>
          <wp:inline distT="0" distB="0" distL="0" distR="0" wp14:anchorId="12A6DD2C" wp14:editId="267FA7B8">
            <wp:extent cx="5580000" cy="27610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nav_q20.png"/>
                    <pic:cNvPicPr/>
                  </pic:nvPicPr>
                  <pic:blipFill>
                    <a:blip r:embed="rId18"/>
                    <a:stretch>
                      <a:fillRect/>
                    </a:stretch>
                  </pic:blipFill>
                  <pic:spPr>
                    <a:xfrm>
                      <a:off x="0" y="0"/>
                      <a:ext cx="5580000" cy="2761038"/>
                    </a:xfrm>
                    <a:prstGeom prst="rect">
                      <a:avLst/>
                    </a:prstGeom>
                  </pic:spPr>
                </pic:pic>
              </a:graphicData>
            </a:graphic>
          </wp:inline>
        </w:drawing>
      </w:r>
    </w:p>
    <w:p w14:paraId="2C0C4FD4" w14:textId="77777777" w:rsidR="00F54D8F" w:rsidRDefault="00000000">
      <w:pPr>
        <w:jc w:val="center"/>
      </w:pPr>
      <w:r>
        <w:rPr>
          <w:rFonts w:eastAsia="SimSun"/>
          <w:color w:val="666666"/>
          <w:sz w:val="18"/>
        </w:rPr>
        <w:t>图 13 Top 20% 净值：baseline vs hysteresis</w:t>
      </w:r>
    </w:p>
    <w:p w14:paraId="6F5F3887" w14:textId="77777777" w:rsidR="00F54D8F" w:rsidRDefault="00000000">
      <w:pPr>
        <w:jc w:val="center"/>
      </w:pPr>
      <w:r>
        <w:rPr>
          <w:noProof/>
        </w:rPr>
        <w:drawing>
          <wp:inline distT="0" distB="0" distL="0" distR="0" wp14:anchorId="0A52034E" wp14:editId="0755896D">
            <wp:extent cx="5580000" cy="27610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d_q20.png"/>
                    <pic:cNvPicPr/>
                  </pic:nvPicPr>
                  <pic:blipFill>
                    <a:blip r:embed="rId19"/>
                    <a:stretch>
                      <a:fillRect/>
                    </a:stretch>
                  </pic:blipFill>
                  <pic:spPr>
                    <a:xfrm>
                      <a:off x="0" y="0"/>
                      <a:ext cx="5580000" cy="2761038"/>
                    </a:xfrm>
                    <a:prstGeom prst="rect">
                      <a:avLst/>
                    </a:prstGeom>
                  </pic:spPr>
                </pic:pic>
              </a:graphicData>
            </a:graphic>
          </wp:inline>
        </w:drawing>
      </w:r>
    </w:p>
    <w:p w14:paraId="33087BF2" w14:textId="77777777" w:rsidR="00F54D8F" w:rsidRDefault="00000000">
      <w:pPr>
        <w:jc w:val="center"/>
      </w:pPr>
      <w:r>
        <w:rPr>
          <w:rFonts w:eastAsia="SimSun"/>
          <w:color w:val="666666"/>
          <w:sz w:val="18"/>
        </w:rPr>
        <w:t>图 14 Top 20% 回撤：baseline vs hysteresis</w:t>
      </w:r>
    </w:p>
    <w:p w14:paraId="6787B1C7" w14:textId="77777777" w:rsidR="00F54D8F" w:rsidRDefault="00000000">
      <w:pPr>
        <w:pStyle w:val="Heading2"/>
      </w:pPr>
      <w:r>
        <w:rPr>
          <w:rFonts w:ascii="SimHei" w:eastAsia="SimHei" w:hAnsi="SimHei"/>
        </w:rPr>
        <w:t>5.2 三个 hysteresis 方案的横向对比</w:t>
      </w:r>
    </w:p>
    <w:p w14:paraId="5BBC0857" w14:textId="77777777" w:rsidR="00F54D8F" w:rsidRDefault="00000000">
      <w:pPr>
        <w:spacing w:after="80" w:line="336" w:lineRule="auto"/>
        <w:ind w:firstLine="454"/>
      </w:pPr>
      <w:r>
        <w:rPr>
          <w:rFonts w:eastAsia="SimSun"/>
        </w:rPr>
        <w:t>把三个加入 hysteresis 的方案叠到同一张图上，可以看到 Top 20% 净值一路领跑，Top 5% 与 Top 10% 差距不大，但从回撤面板可以看出 Top 5% 的深度回撤（2020 年疫情期与 2021 年上半年）明显小于另外两个方案——这符合“集中度更高、选股胜率高时波动更小”的直觉。</w:t>
      </w:r>
    </w:p>
    <w:p w14:paraId="5798E4C5" w14:textId="77777777" w:rsidR="00F54D8F" w:rsidRDefault="00000000">
      <w:pPr>
        <w:jc w:val="center"/>
      </w:pPr>
      <w:r>
        <w:rPr>
          <w:noProof/>
        </w:rPr>
        <w:lastRenderedPageBreak/>
        <w:drawing>
          <wp:inline distT="0" distB="0" distL="0" distR="0" wp14:anchorId="7785D603" wp14:editId="647032DD">
            <wp:extent cx="5580000" cy="3747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hyst_overview.png"/>
                    <pic:cNvPicPr/>
                  </pic:nvPicPr>
                  <pic:blipFill>
                    <a:blip r:embed="rId20"/>
                    <a:stretch>
                      <a:fillRect/>
                    </a:stretch>
                  </pic:blipFill>
                  <pic:spPr>
                    <a:xfrm>
                      <a:off x="0" y="0"/>
                      <a:ext cx="5580000" cy="3747420"/>
                    </a:xfrm>
                    <a:prstGeom prst="rect">
                      <a:avLst/>
                    </a:prstGeom>
                  </pic:spPr>
                </pic:pic>
              </a:graphicData>
            </a:graphic>
          </wp:inline>
        </w:drawing>
      </w:r>
    </w:p>
    <w:p w14:paraId="1F8D3A60" w14:textId="77777777" w:rsidR="00F54D8F" w:rsidRDefault="00000000">
      <w:pPr>
        <w:jc w:val="center"/>
        <w:rPr>
          <w:lang w:eastAsia="zh-CN"/>
        </w:rPr>
      </w:pPr>
      <w:r>
        <w:rPr>
          <w:rFonts w:eastAsia="SimSun"/>
          <w:color w:val="666666"/>
          <w:sz w:val="18"/>
          <w:lang w:eastAsia="zh-CN"/>
        </w:rPr>
        <w:t>图 15 三个 hysteresis 方案的净值 + 回撤汇总对比</w:t>
      </w:r>
    </w:p>
    <w:p w14:paraId="0805426E" w14:textId="77777777" w:rsidR="00F54D8F" w:rsidRDefault="00000000">
      <w:pPr>
        <w:pStyle w:val="Heading2"/>
        <w:rPr>
          <w:lang w:eastAsia="zh-CN"/>
        </w:rPr>
      </w:pPr>
      <w:r>
        <w:rPr>
          <w:rFonts w:ascii="SimHei" w:eastAsia="SimHei" w:hAnsi="SimHei"/>
          <w:lang w:eastAsia="zh-CN"/>
        </w:rPr>
        <w:t>5.3 关键指标对比</w:t>
      </w:r>
    </w:p>
    <w:p w14:paraId="4CD2295C" w14:textId="77777777" w:rsidR="00F54D8F" w:rsidRDefault="00000000">
      <w:pPr>
        <w:jc w:val="center"/>
      </w:pPr>
      <w:r>
        <w:rPr>
          <w:noProof/>
        </w:rPr>
        <w:drawing>
          <wp:inline distT="0" distB="0" distL="0" distR="0" wp14:anchorId="3F5C3934" wp14:editId="500B4F77">
            <wp:extent cx="5580000" cy="18910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metrics.png"/>
                    <pic:cNvPicPr/>
                  </pic:nvPicPr>
                  <pic:blipFill>
                    <a:blip r:embed="rId21"/>
                    <a:stretch>
                      <a:fillRect/>
                    </a:stretch>
                  </pic:blipFill>
                  <pic:spPr>
                    <a:xfrm>
                      <a:off x="0" y="0"/>
                      <a:ext cx="5580000" cy="1891074"/>
                    </a:xfrm>
                    <a:prstGeom prst="rect">
                      <a:avLst/>
                    </a:prstGeom>
                  </pic:spPr>
                </pic:pic>
              </a:graphicData>
            </a:graphic>
          </wp:inline>
        </w:drawing>
      </w:r>
    </w:p>
    <w:p w14:paraId="35899F7D" w14:textId="77777777" w:rsidR="00F54D8F" w:rsidRDefault="00000000">
      <w:pPr>
        <w:jc w:val="center"/>
      </w:pPr>
      <w:r>
        <w:rPr>
          <w:rFonts w:eastAsia="SimSun"/>
          <w:color w:val="666666"/>
          <w:sz w:val="18"/>
        </w:rPr>
        <w:t>图 16 加入 hysteresis 前后的净夏普 / CAGR / 最大回撤对比</w:t>
      </w:r>
    </w:p>
    <w:tbl>
      <w:tblPr>
        <w:tblStyle w:val="LightGrid-Accent1"/>
        <w:tblW w:w="0" w:type="auto"/>
        <w:jc w:val="center"/>
        <w:tblLook w:val="04A0" w:firstRow="1" w:lastRow="0" w:firstColumn="1" w:lastColumn="0" w:noHBand="0" w:noVBand="1"/>
      </w:tblPr>
      <w:tblGrid>
        <w:gridCol w:w="1344"/>
        <w:gridCol w:w="1344"/>
        <w:gridCol w:w="1344"/>
        <w:gridCol w:w="1344"/>
        <w:gridCol w:w="1344"/>
        <w:gridCol w:w="1344"/>
        <w:gridCol w:w="1344"/>
      </w:tblGrid>
      <w:tr w:rsidR="00F54D8F" w14:paraId="69B186CB" w14:textId="77777777" w:rsidTr="00F54D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BB85BEB" w14:textId="77777777" w:rsidR="00F54D8F" w:rsidRDefault="00000000">
            <w:pPr>
              <w:jc w:val="center"/>
            </w:pPr>
            <w:r>
              <w:rPr>
                <w:rFonts w:eastAsia="SimSun"/>
                <w:sz w:val="20"/>
              </w:rPr>
              <w:t>方案</w:t>
            </w:r>
          </w:p>
        </w:tc>
        <w:tc>
          <w:tcPr>
            <w:tcW w:w="1344" w:type="dxa"/>
          </w:tcPr>
          <w:p w14:paraId="6AAB3A95"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口径</w:t>
            </w:r>
          </w:p>
        </w:tc>
        <w:tc>
          <w:tcPr>
            <w:tcW w:w="1344" w:type="dxa"/>
          </w:tcPr>
          <w:p w14:paraId="45F35BD7"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窗口</w:t>
            </w:r>
          </w:p>
        </w:tc>
        <w:tc>
          <w:tcPr>
            <w:tcW w:w="1344" w:type="dxa"/>
          </w:tcPr>
          <w:p w14:paraId="24172EA9"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净夏普</w:t>
            </w:r>
          </w:p>
        </w:tc>
        <w:tc>
          <w:tcPr>
            <w:tcW w:w="1344" w:type="dxa"/>
          </w:tcPr>
          <w:p w14:paraId="2865BDEC"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CAGR</w:t>
            </w:r>
          </w:p>
        </w:tc>
        <w:tc>
          <w:tcPr>
            <w:tcW w:w="1344" w:type="dxa"/>
          </w:tcPr>
          <w:p w14:paraId="6233C6DF"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最大回撤</w:t>
            </w:r>
          </w:p>
        </w:tc>
        <w:tc>
          <w:tcPr>
            <w:tcW w:w="1344" w:type="dxa"/>
          </w:tcPr>
          <w:p w14:paraId="7761456E"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年化成本 (bps)</w:t>
            </w:r>
          </w:p>
        </w:tc>
      </w:tr>
      <w:tr w:rsidR="00F54D8F" w14:paraId="4F328664"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A8D00EC" w14:textId="77777777" w:rsidR="00F54D8F" w:rsidRDefault="00000000">
            <w:pPr>
              <w:jc w:val="center"/>
            </w:pPr>
            <w:r>
              <w:rPr>
                <w:rFonts w:eastAsia="SimSun"/>
                <w:sz w:val="20"/>
              </w:rPr>
              <w:t>Top 5%</w:t>
            </w:r>
          </w:p>
        </w:tc>
        <w:tc>
          <w:tcPr>
            <w:tcW w:w="1344" w:type="dxa"/>
          </w:tcPr>
          <w:p w14:paraId="6E693C24"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baseline</w:t>
            </w:r>
          </w:p>
        </w:tc>
        <w:tc>
          <w:tcPr>
            <w:tcW w:w="1344" w:type="dxa"/>
          </w:tcPr>
          <w:p w14:paraId="56352C2F"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IS</w:t>
            </w:r>
          </w:p>
        </w:tc>
        <w:tc>
          <w:tcPr>
            <w:tcW w:w="1344" w:type="dxa"/>
          </w:tcPr>
          <w:p w14:paraId="50ECF1B2"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1.05</w:t>
            </w:r>
          </w:p>
        </w:tc>
        <w:tc>
          <w:tcPr>
            <w:tcW w:w="1344" w:type="dxa"/>
          </w:tcPr>
          <w:p w14:paraId="2D0125B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2.11%</w:t>
            </w:r>
          </w:p>
        </w:tc>
        <w:tc>
          <w:tcPr>
            <w:tcW w:w="1344" w:type="dxa"/>
          </w:tcPr>
          <w:p w14:paraId="20108E1C"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-4.68%</w:t>
            </w:r>
          </w:p>
        </w:tc>
        <w:tc>
          <w:tcPr>
            <w:tcW w:w="1344" w:type="dxa"/>
          </w:tcPr>
          <w:p w14:paraId="36289D97"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w:t>
            </w:r>
          </w:p>
        </w:tc>
      </w:tr>
      <w:tr w:rsidR="00F54D8F" w14:paraId="1FE01818"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05A90AE" w14:textId="77777777" w:rsidR="00F54D8F" w:rsidRDefault="00000000">
            <w:pPr>
              <w:jc w:val="center"/>
            </w:pPr>
            <w:r>
              <w:rPr>
                <w:rFonts w:eastAsia="SimSun"/>
                <w:sz w:val="20"/>
              </w:rPr>
              <w:t>Top 5%</w:t>
            </w:r>
          </w:p>
        </w:tc>
        <w:tc>
          <w:tcPr>
            <w:tcW w:w="1344" w:type="dxa"/>
          </w:tcPr>
          <w:p w14:paraId="0D6D41B3"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baseline</w:t>
            </w:r>
          </w:p>
        </w:tc>
        <w:tc>
          <w:tcPr>
            <w:tcW w:w="1344" w:type="dxa"/>
          </w:tcPr>
          <w:p w14:paraId="337E256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OOS</w:t>
            </w:r>
          </w:p>
        </w:tc>
        <w:tc>
          <w:tcPr>
            <w:tcW w:w="1344" w:type="dxa"/>
          </w:tcPr>
          <w:p w14:paraId="096CBA4E"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0.59</w:t>
            </w:r>
          </w:p>
        </w:tc>
        <w:tc>
          <w:tcPr>
            <w:tcW w:w="1344" w:type="dxa"/>
          </w:tcPr>
          <w:p w14:paraId="2B34016D"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0.52%</w:t>
            </w:r>
          </w:p>
        </w:tc>
        <w:tc>
          <w:tcPr>
            <w:tcW w:w="1344" w:type="dxa"/>
          </w:tcPr>
          <w:p w14:paraId="05278A3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-1.01%</w:t>
            </w:r>
          </w:p>
        </w:tc>
        <w:tc>
          <w:tcPr>
            <w:tcW w:w="1344" w:type="dxa"/>
          </w:tcPr>
          <w:p w14:paraId="58ED3A3D"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w:t>
            </w:r>
          </w:p>
        </w:tc>
      </w:tr>
      <w:tr w:rsidR="00F54D8F" w14:paraId="270C0980"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30913B4" w14:textId="77777777" w:rsidR="00F54D8F" w:rsidRDefault="00000000">
            <w:pPr>
              <w:jc w:val="center"/>
            </w:pPr>
            <w:r>
              <w:rPr>
                <w:rFonts w:eastAsia="SimSun"/>
                <w:sz w:val="20"/>
              </w:rPr>
              <w:t>Top 5%</w:t>
            </w:r>
          </w:p>
        </w:tc>
        <w:tc>
          <w:tcPr>
            <w:tcW w:w="1344" w:type="dxa"/>
          </w:tcPr>
          <w:p w14:paraId="3E45C911"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baseline</w:t>
            </w:r>
          </w:p>
        </w:tc>
        <w:tc>
          <w:tcPr>
            <w:tcW w:w="1344" w:type="dxa"/>
          </w:tcPr>
          <w:p w14:paraId="163F6194"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全窗</w:t>
            </w:r>
          </w:p>
        </w:tc>
        <w:tc>
          <w:tcPr>
            <w:tcW w:w="1344" w:type="dxa"/>
          </w:tcPr>
          <w:p w14:paraId="188F1A6C"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0.97</w:t>
            </w:r>
          </w:p>
        </w:tc>
        <w:tc>
          <w:tcPr>
            <w:tcW w:w="1344" w:type="dxa"/>
          </w:tcPr>
          <w:p w14:paraId="44F568C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1.75%</w:t>
            </w:r>
          </w:p>
        </w:tc>
        <w:tc>
          <w:tcPr>
            <w:tcW w:w="1344" w:type="dxa"/>
          </w:tcPr>
          <w:p w14:paraId="15C1F922"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-4.68%</w:t>
            </w:r>
          </w:p>
        </w:tc>
        <w:tc>
          <w:tcPr>
            <w:tcW w:w="1344" w:type="dxa"/>
          </w:tcPr>
          <w:p w14:paraId="4D7F4878"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152</w:t>
            </w:r>
          </w:p>
        </w:tc>
      </w:tr>
      <w:tr w:rsidR="00F54D8F" w14:paraId="000F2C0E"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3D5282D" w14:textId="77777777" w:rsidR="00F54D8F" w:rsidRDefault="00000000">
            <w:pPr>
              <w:jc w:val="center"/>
            </w:pPr>
            <w:r>
              <w:rPr>
                <w:rFonts w:eastAsia="SimSun"/>
                <w:sz w:val="20"/>
              </w:rPr>
              <w:t>Top 5%</w:t>
            </w:r>
          </w:p>
        </w:tc>
        <w:tc>
          <w:tcPr>
            <w:tcW w:w="1344" w:type="dxa"/>
          </w:tcPr>
          <w:p w14:paraId="7373146C"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hysteresis</w:t>
            </w:r>
          </w:p>
        </w:tc>
        <w:tc>
          <w:tcPr>
            <w:tcW w:w="1344" w:type="dxa"/>
          </w:tcPr>
          <w:p w14:paraId="20E3576A"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IS</w:t>
            </w:r>
          </w:p>
        </w:tc>
        <w:tc>
          <w:tcPr>
            <w:tcW w:w="1344" w:type="dxa"/>
          </w:tcPr>
          <w:p w14:paraId="4C9D51CD"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1.29</w:t>
            </w:r>
          </w:p>
        </w:tc>
        <w:tc>
          <w:tcPr>
            <w:tcW w:w="1344" w:type="dxa"/>
          </w:tcPr>
          <w:p w14:paraId="4A580C93"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2.57%</w:t>
            </w:r>
          </w:p>
        </w:tc>
        <w:tc>
          <w:tcPr>
            <w:tcW w:w="1344" w:type="dxa"/>
          </w:tcPr>
          <w:p w14:paraId="2EE73AD8"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-4.30%</w:t>
            </w:r>
          </w:p>
        </w:tc>
        <w:tc>
          <w:tcPr>
            <w:tcW w:w="1344" w:type="dxa"/>
          </w:tcPr>
          <w:p w14:paraId="77C94955"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w:t>
            </w:r>
          </w:p>
        </w:tc>
      </w:tr>
      <w:tr w:rsidR="00F54D8F" w14:paraId="130BCADC"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119D765" w14:textId="77777777" w:rsidR="00F54D8F" w:rsidRDefault="00000000">
            <w:pPr>
              <w:jc w:val="center"/>
            </w:pPr>
            <w:r>
              <w:rPr>
                <w:rFonts w:eastAsia="SimSun"/>
                <w:sz w:val="20"/>
              </w:rPr>
              <w:t>Top 5%</w:t>
            </w:r>
          </w:p>
        </w:tc>
        <w:tc>
          <w:tcPr>
            <w:tcW w:w="1344" w:type="dxa"/>
          </w:tcPr>
          <w:p w14:paraId="37693461"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hysteresis</w:t>
            </w:r>
          </w:p>
        </w:tc>
        <w:tc>
          <w:tcPr>
            <w:tcW w:w="1344" w:type="dxa"/>
          </w:tcPr>
          <w:p w14:paraId="5A0B49EC"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OOS</w:t>
            </w:r>
          </w:p>
        </w:tc>
        <w:tc>
          <w:tcPr>
            <w:tcW w:w="1344" w:type="dxa"/>
          </w:tcPr>
          <w:p w14:paraId="7E1FD70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1.15</w:t>
            </w:r>
          </w:p>
        </w:tc>
        <w:tc>
          <w:tcPr>
            <w:tcW w:w="1344" w:type="dxa"/>
          </w:tcPr>
          <w:p w14:paraId="2688D76D"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1.01%</w:t>
            </w:r>
          </w:p>
        </w:tc>
        <w:tc>
          <w:tcPr>
            <w:tcW w:w="1344" w:type="dxa"/>
          </w:tcPr>
          <w:p w14:paraId="6ABD26C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-0.83%</w:t>
            </w:r>
          </w:p>
        </w:tc>
        <w:tc>
          <w:tcPr>
            <w:tcW w:w="1344" w:type="dxa"/>
          </w:tcPr>
          <w:p w14:paraId="758539E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w:t>
            </w:r>
          </w:p>
        </w:tc>
      </w:tr>
      <w:tr w:rsidR="00F54D8F" w14:paraId="6A4BBAAA"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6720F58" w14:textId="77777777" w:rsidR="00F54D8F" w:rsidRDefault="00000000">
            <w:pPr>
              <w:jc w:val="center"/>
            </w:pPr>
            <w:r>
              <w:rPr>
                <w:rFonts w:eastAsia="SimSun"/>
                <w:sz w:val="20"/>
              </w:rPr>
              <w:t>Top 5%</w:t>
            </w:r>
          </w:p>
        </w:tc>
        <w:tc>
          <w:tcPr>
            <w:tcW w:w="1344" w:type="dxa"/>
          </w:tcPr>
          <w:p w14:paraId="20C3905E"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hysteresis</w:t>
            </w:r>
          </w:p>
        </w:tc>
        <w:tc>
          <w:tcPr>
            <w:tcW w:w="1344" w:type="dxa"/>
          </w:tcPr>
          <w:p w14:paraId="0986211F"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全窗</w:t>
            </w:r>
          </w:p>
        </w:tc>
        <w:tc>
          <w:tcPr>
            <w:tcW w:w="1344" w:type="dxa"/>
          </w:tcPr>
          <w:p w14:paraId="79B153DC"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1.23</w:t>
            </w:r>
          </w:p>
        </w:tc>
        <w:tc>
          <w:tcPr>
            <w:tcW w:w="1344" w:type="dxa"/>
          </w:tcPr>
          <w:p w14:paraId="22EB289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2.19%</w:t>
            </w:r>
          </w:p>
        </w:tc>
        <w:tc>
          <w:tcPr>
            <w:tcW w:w="1344" w:type="dxa"/>
          </w:tcPr>
          <w:p w14:paraId="32801014"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-4.30%</w:t>
            </w:r>
          </w:p>
        </w:tc>
        <w:tc>
          <w:tcPr>
            <w:tcW w:w="1344" w:type="dxa"/>
          </w:tcPr>
          <w:p w14:paraId="75F59B1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110</w:t>
            </w:r>
          </w:p>
        </w:tc>
      </w:tr>
      <w:tr w:rsidR="00F54D8F" w14:paraId="58643EE1"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644E897" w14:textId="77777777" w:rsidR="00F54D8F" w:rsidRDefault="00000000">
            <w:pPr>
              <w:jc w:val="center"/>
            </w:pPr>
            <w:r>
              <w:rPr>
                <w:rFonts w:eastAsia="SimSun"/>
                <w:sz w:val="20"/>
              </w:rPr>
              <w:t>Top 10%</w:t>
            </w:r>
          </w:p>
        </w:tc>
        <w:tc>
          <w:tcPr>
            <w:tcW w:w="1344" w:type="dxa"/>
          </w:tcPr>
          <w:p w14:paraId="4C9BEB1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baseline</w:t>
            </w:r>
          </w:p>
        </w:tc>
        <w:tc>
          <w:tcPr>
            <w:tcW w:w="1344" w:type="dxa"/>
          </w:tcPr>
          <w:p w14:paraId="149652A2"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IS</w:t>
            </w:r>
          </w:p>
        </w:tc>
        <w:tc>
          <w:tcPr>
            <w:tcW w:w="1344" w:type="dxa"/>
          </w:tcPr>
          <w:p w14:paraId="65ECC7B2"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0.81</w:t>
            </w:r>
          </w:p>
        </w:tc>
        <w:tc>
          <w:tcPr>
            <w:tcW w:w="1344" w:type="dxa"/>
          </w:tcPr>
          <w:p w14:paraId="47B5F65E"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1.96%</w:t>
            </w:r>
          </w:p>
        </w:tc>
        <w:tc>
          <w:tcPr>
            <w:tcW w:w="1344" w:type="dxa"/>
          </w:tcPr>
          <w:p w14:paraId="2AB953E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-3.77%</w:t>
            </w:r>
          </w:p>
        </w:tc>
        <w:tc>
          <w:tcPr>
            <w:tcW w:w="1344" w:type="dxa"/>
          </w:tcPr>
          <w:p w14:paraId="22D4CA5E"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w:t>
            </w:r>
          </w:p>
        </w:tc>
      </w:tr>
      <w:tr w:rsidR="00F54D8F" w14:paraId="0D2E5E64"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8CD2990" w14:textId="77777777" w:rsidR="00F54D8F" w:rsidRDefault="00000000">
            <w:pPr>
              <w:jc w:val="center"/>
            </w:pPr>
            <w:r>
              <w:rPr>
                <w:rFonts w:eastAsia="SimSun"/>
                <w:sz w:val="20"/>
              </w:rPr>
              <w:lastRenderedPageBreak/>
              <w:t>Top 10%</w:t>
            </w:r>
          </w:p>
        </w:tc>
        <w:tc>
          <w:tcPr>
            <w:tcW w:w="1344" w:type="dxa"/>
          </w:tcPr>
          <w:p w14:paraId="11C03B6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baseline</w:t>
            </w:r>
          </w:p>
        </w:tc>
        <w:tc>
          <w:tcPr>
            <w:tcW w:w="1344" w:type="dxa"/>
          </w:tcPr>
          <w:p w14:paraId="16B399D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OOS</w:t>
            </w:r>
          </w:p>
        </w:tc>
        <w:tc>
          <w:tcPr>
            <w:tcW w:w="1344" w:type="dxa"/>
          </w:tcPr>
          <w:p w14:paraId="03218229"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1.47</w:t>
            </w:r>
          </w:p>
        </w:tc>
        <w:tc>
          <w:tcPr>
            <w:tcW w:w="1344" w:type="dxa"/>
          </w:tcPr>
          <w:p w14:paraId="378B0316"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1.33%</w:t>
            </w:r>
          </w:p>
        </w:tc>
        <w:tc>
          <w:tcPr>
            <w:tcW w:w="1344" w:type="dxa"/>
          </w:tcPr>
          <w:p w14:paraId="6B02329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-0.86%</w:t>
            </w:r>
          </w:p>
        </w:tc>
        <w:tc>
          <w:tcPr>
            <w:tcW w:w="1344" w:type="dxa"/>
          </w:tcPr>
          <w:p w14:paraId="4E5AD1C5"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w:t>
            </w:r>
          </w:p>
        </w:tc>
      </w:tr>
      <w:tr w:rsidR="00F54D8F" w14:paraId="47E0014F"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6E7E46A" w14:textId="77777777" w:rsidR="00F54D8F" w:rsidRDefault="00000000">
            <w:pPr>
              <w:jc w:val="center"/>
            </w:pPr>
            <w:r>
              <w:rPr>
                <w:rFonts w:eastAsia="SimSun"/>
                <w:sz w:val="20"/>
              </w:rPr>
              <w:t>Top 10%</w:t>
            </w:r>
          </w:p>
        </w:tc>
        <w:tc>
          <w:tcPr>
            <w:tcW w:w="1344" w:type="dxa"/>
          </w:tcPr>
          <w:p w14:paraId="4932984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baseline</w:t>
            </w:r>
          </w:p>
        </w:tc>
        <w:tc>
          <w:tcPr>
            <w:tcW w:w="1344" w:type="dxa"/>
          </w:tcPr>
          <w:p w14:paraId="35092A4C"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全窗</w:t>
            </w:r>
          </w:p>
        </w:tc>
        <w:tc>
          <w:tcPr>
            <w:tcW w:w="1344" w:type="dxa"/>
          </w:tcPr>
          <w:p w14:paraId="3BA8702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0.83</w:t>
            </w:r>
          </w:p>
        </w:tc>
        <w:tc>
          <w:tcPr>
            <w:tcW w:w="1344" w:type="dxa"/>
          </w:tcPr>
          <w:p w14:paraId="47E3CAD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1.79%</w:t>
            </w:r>
          </w:p>
        </w:tc>
        <w:tc>
          <w:tcPr>
            <w:tcW w:w="1344" w:type="dxa"/>
          </w:tcPr>
          <w:p w14:paraId="08E9237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-3.77%</w:t>
            </w:r>
          </w:p>
        </w:tc>
        <w:tc>
          <w:tcPr>
            <w:tcW w:w="1344" w:type="dxa"/>
          </w:tcPr>
          <w:p w14:paraId="7302A77B"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150</w:t>
            </w:r>
          </w:p>
        </w:tc>
      </w:tr>
      <w:tr w:rsidR="00F54D8F" w14:paraId="0F52B469"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79F15A1" w14:textId="77777777" w:rsidR="00F54D8F" w:rsidRDefault="00000000">
            <w:pPr>
              <w:jc w:val="center"/>
            </w:pPr>
            <w:r>
              <w:rPr>
                <w:rFonts w:eastAsia="SimSun"/>
                <w:sz w:val="20"/>
              </w:rPr>
              <w:t>Top 10%</w:t>
            </w:r>
          </w:p>
        </w:tc>
        <w:tc>
          <w:tcPr>
            <w:tcW w:w="1344" w:type="dxa"/>
          </w:tcPr>
          <w:p w14:paraId="2D0DAAD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hysteresis</w:t>
            </w:r>
          </w:p>
        </w:tc>
        <w:tc>
          <w:tcPr>
            <w:tcW w:w="1344" w:type="dxa"/>
          </w:tcPr>
          <w:p w14:paraId="005FBC6C"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IS</w:t>
            </w:r>
          </w:p>
        </w:tc>
        <w:tc>
          <w:tcPr>
            <w:tcW w:w="1344" w:type="dxa"/>
          </w:tcPr>
          <w:p w14:paraId="73CC253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0.94</w:t>
            </w:r>
          </w:p>
        </w:tc>
        <w:tc>
          <w:tcPr>
            <w:tcW w:w="1344" w:type="dxa"/>
          </w:tcPr>
          <w:p w14:paraId="79BBBE36"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2.30%</w:t>
            </w:r>
          </w:p>
        </w:tc>
        <w:tc>
          <w:tcPr>
            <w:tcW w:w="1344" w:type="dxa"/>
          </w:tcPr>
          <w:p w14:paraId="327D1DF8"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-3.59%</w:t>
            </w:r>
          </w:p>
        </w:tc>
        <w:tc>
          <w:tcPr>
            <w:tcW w:w="1344" w:type="dxa"/>
          </w:tcPr>
          <w:p w14:paraId="04F392C8"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w:t>
            </w:r>
          </w:p>
        </w:tc>
      </w:tr>
      <w:tr w:rsidR="00F54D8F" w14:paraId="1A355A76"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2DFEAFF" w14:textId="77777777" w:rsidR="00F54D8F" w:rsidRDefault="00000000">
            <w:pPr>
              <w:jc w:val="center"/>
            </w:pPr>
            <w:r>
              <w:rPr>
                <w:rFonts w:eastAsia="SimSun"/>
                <w:sz w:val="20"/>
              </w:rPr>
              <w:t>Top 10%</w:t>
            </w:r>
          </w:p>
        </w:tc>
        <w:tc>
          <w:tcPr>
            <w:tcW w:w="1344" w:type="dxa"/>
          </w:tcPr>
          <w:p w14:paraId="1347241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hysteresis</w:t>
            </w:r>
          </w:p>
        </w:tc>
        <w:tc>
          <w:tcPr>
            <w:tcW w:w="1344" w:type="dxa"/>
          </w:tcPr>
          <w:p w14:paraId="2B40259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OOS</w:t>
            </w:r>
          </w:p>
        </w:tc>
        <w:tc>
          <w:tcPr>
            <w:tcW w:w="1344" w:type="dxa"/>
          </w:tcPr>
          <w:p w14:paraId="56EF54F8"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1.82</w:t>
            </w:r>
          </w:p>
        </w:tc>
        <w:tc>
          <w:tcPr>
            <w:tcW w:w="1344" w:type="dxa"/>
          </w:tcPr>
          <w:p w14:paraId="369B87A2"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1.67%</w:t>
            </w:r>
          </w:p>
        </w:tc>
        <w:tc>
          <w:tcPr>
            <w:tcW w:w="1344" w:type="dxa"/>
          </w:tcPr>
          <w:p w14:paraId="07AF2E04"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-0.77%</w:t>
            </w:r>
          </w:p>
        </w:tc>
        <w:tc>
          <w:tcPr>
            <w:tcW w:w="1344" w:type="dxa"/>
          </w:tcPr>
          <w:p w14:paraId="668512F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w:t>
            </w:r>
          </w:p>
        </w:tc>
      </w:tr>
      <w:tr w:rsidR="00F54D8F" w14:paraId="014500A1"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BDC1459" w14:textId="77777777" w:rsidR="00F54D8F" w:rsidRDefault="00000000">
            <w:pPr>
              <w:jc w:val="center"/>
            </w:pPr>
            <w:r>
              <w:rPr>
                <w:rFonts w:eastAsia="SimSun"/>
                <w:sz w:val="20"/>
              </w:rPr>
              <w:t>Top 10%</w:t>
            </w:r>
          </w:p>
        </w:tc>
        <w:tc>
          <w:tcPr>
            <w:tcW w:w="1344" w:type="dxa"/>
          </w:tcPr>
          <w:p w14:paraId="150545A5"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hysteresis</w:t>
            </w:r>
          </w:p>
        </w:tc>
        <w:tc>
          <w:tcPr>
            <w:tcW w:w="1344" w:type="dxa"/>
          </w:tcPr>
          <w:p w14:paraId="064D7DF9"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全窗</w:t>
            </w:r>
          </w:p>
        </w:tc>
        <w:tc>
          <w:tcPr>
            <w:tcW w:w="1344" w:type="dxa"/>
          </w:tcPr>
          <w:p w14:paraId="65E6615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0.97</w:t>
            </w:r>
          </w:p>
        </w:tc>
        <w:tc>
          <w:tcPr>
            <w:tcW w:w="1344" w:type="dxa"/>
          </w:tcPr>
          <w:p w14:paraId="5230528A"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2.12%</w:t>
            </w:r>
          </w:p>
        </w:tc>
        <w:tc>
          <w:tcPr>
            <w:tcW w:w="1344" w:type="dxa"/>
          </w:tcPr>
          <w:p w14:paraId="22DB6A7A"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-3.59%</w:t>
            </w:r>
          </w:p>
        </w:tc>
        <w:tc>
          <w:tcPr>
            <w:tcW w:w="1344" w:type="dxa"/>
          </w:tcPr>
          <w:p w14:paraId="569084D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126</w:t>
            </w:r>
          </w:p>
        </w:tc>
      </w:tr>
      <w:tr w:rsidR="00F54D8F" w14:paraId="5BAD2ECE"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F35CFC4" w14:textId="77777777" w:rsidR="00F54D8F" w:rsidRDefault="00000000">
            <w:pPr>
              <w:jc w:val="center"/>
            </w:pPr>
            <w:r>
              <w:rPr>
                <w:rFonts w:eastAsia="SimSun"/>
                <w:sz w:val="20"/>
              </w:rPr>
              <w:t>Top 20%</w:t>
            </w:r>
          </w:p>
        </w:tc>
        <w:tc>
          <w:tcPr>
            <w:tcW w:w="1344" w:type="dxa"/>
          </w:tcPr>
          <w:p w14:paraId="5E7083A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baseline</w:t>
            </w:r>
          </w:p>
        </w:tc>
        <w:tc>
          <w:tcPr>
            <w:tcW w:w="1344" w:type="dxa"/>
          </w:tcPr>
          <w:p w14:paraId="1D77366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IS</w:t>
            </w:r>
          </w:p>
        </w:tc>
        <w:tc>
          <w:tcPr>
            <w:tcW w:w="1344" w:type="dxa"/>
          </w:tcPr>
          <w:p w14:paraId="016E984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1.00</w:t>
            </w:r>
          </w:p>
        </w:tc>
        <w:tc>
          <w:tcPr>
            <w:tcW w:w="1344" w:type="dxa"/>
          </w:tcPr>
          <w:p w14:paraId="0AD4E8F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3.48%</w:t>
            </w:r>
          </w:p>
        </w:tc>
        <w:tc>
          <w:tcPr>
            <w:tcW w:w="1344" w:type="dxa"/>
          </w:tcPr>
          <w:p w14:paraId="24F9E0F0"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-5.24%</w:t>
            </w:r>
          </w:p>
        </w:tc>
        <w:tc>
          <w:tcPr>
            <w:tcW w:w="1344" w:type="dxa"/>
          </w:tcPr>
          <w:p w14:paraId="213725AD"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w:t>
            </w:r>
          </w:p>
        </w:tc>
      </w:tr>
      <w:tr w:rsidR="00F54D8F" w14:paraId="5FB14B25"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DE98BF0" w14:textId="77777777" w:rsidR="00F54D8F" w:rsidRDefault="00000000">
            <w:pPr>
              <w:jc w:val="center"/>
            </w:pPr>
            <w:r>
              <w:rPr>
                <w:rFonts w:eastAsia="SimSun"/>
                <w:sz w:val="20"/>
              </w:rPr>
              <w:t>Top 20%</w:t>
            </w:r>
          </w:p>
        </w:tc>
        <w:tc>
          <w:tcPr>
            <w:tcW w:w="1344" w:type="dxa"/>
          </w:tcPr>
          <w:p w14:paraId="23AA320F"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baseline</w:t>
            </w:r>
          </w:p>
        </w:tc>
        <w:tc>
          <w:tcPr>
            <w:tcW w:w="1344" w:type="dxa"/>
          </w:tcPr>
          <w:p w14:paraId="534F21F2"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OOS</w:t>
            </w:r>
          </w:p>
        </w:tc>
        <w:tc>
          <w:tcPr>
            <w:tcW w:w="1344" w:type="dxa"/>
          </w:tcPr>
          <w:p w14:paraId="1DD6191B"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2.07</w:t>
            </w:r>
          </w:p>
        </w:tc>
        <w:tc>
          <w:tcPr>
            <w:tcW w:w="1344" w:type="dxa"/>
          </w:tcPr>
          <w:p w14:paraId="398DF2A2"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2.07%</w:t>
            </w:r>
          </w:p>
        </w:tc>
        <w:tc>
          <w:tcPr>
            <w:tcW w:w="1344" w:type="dxa"/>
          </w:tcPr>
          <w:p w14:paraId="15A1F1D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-0.90%</w:t>
            </w:r>
          </w:p>
        </w:tc>
        <w:tc>
          <w:tcPr>
            <w:tcW w:w="1344" w:type="dxa"/>
          </w:tcPr>
          <w:p w14:paraId="00C6A4EA"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w:t>
            </w:r>
          </w:p>
        </w:tc>
      </w:tr>
      <w:tr w:rsidR="00F54D8F" w14:paraId="25271A07"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F9CB5BE" w14:textId="77777777" w:rsidR="00F54D8F" w:rsidRDefault="00000000">
            <w:pPr>
              <w:jc w:val="center"/>
            </w:pPr>
            <w:r>
              <w:rPr>
                <w:rFonts w:eastAsia="SimSun"/>
                <w:sz w:val="20"/>
              </w:rPr>
              <w:t>Top 20%</w:t>
            </w:r>
          </w:p>
        </w:tc>
        <w:tc>
          <w:tcPr>
            <w:tcW w:w="1344" w:type="dxa"/>
          </w:tcPr>
          <w:p w14:paraId="29F4FD2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baseline</w:t>
            </w:r>
          </w:p>
        </w:tc>
        <w:tc>
          <w:tcPr>
            <w:tcW w:w="1344" w:type="dxa"/>
          </w:tcPr>
          <w:p w14:paraId="36A0DE2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全窗</w:t>
            </w:r>
          </w:p>
        </w:tc>
        <w:tc>
          <w:tcPr>
            <w:tcW w:w="1344" w:type="dxa"/>
          </w:tcPr>
          <w:p w14:paraId="5476F98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1.01</w:t>
            </w:r>
          </w:p>
        </w:tc>
        <w:tc>
          <w:tcPr>
            <w:tcW w:w="1344" w:type="dxa"/>
          </w:tcPr>
          <w:p w14:paraId="734F597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3.09%</w:t>
            </w:r>
          </w:p>
        </w:tc>
        <w:tc>
          <w:tcPr>
            <w:tcW w:w="1344" w:type="dxa"/>
          </w:tcPr>
          <w:p w14:paraId="46288851"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-5.24%</w:t>
            </w:r>
          </w:p>
        </w:tc>
        <w:tc>
          <w:tcPr>
            <w:tcW w:w="1344" w:type="dxa"/>
          </w:tcPr>
          <w:p w14:paraId="1C0273F4"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145</w:t>
            </w:r>
          </w:p>
        </w:tc>
      </w:tr>
      <w:tr w:rsidR="00F54D8F" w14:paraId="333F8B6E"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81E55D5" w14:textId="77777777" w:rsidR="00F54D8F" w:rsidRDefault="00000000">
            <w:pPr>
              <w:jc w:val="center"/>
            </w:pPr>
            <w:r>
              <w:rPr>
                <w:rFonts w:eastAsia="SimSun"/>
                <w:sz w:val="20"/>
              </w:rPr>
              <w:t>Top 20%</w:t>
            </w:r>
          </w:p>
        </w:tc>
        <w:tc>
          <w:tcPr>
            <w:tcW w:w="1344" w:type="dxa"/>
          </w:tcPr>
          <w:p w14:paraId="6ECFBDAB"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hysteresis</w:t>
            </w:r>
          </w:p>
        </w:tc>
        <w:tc>
          <w:tcPr>
            <w:tcW w:w="1344" w:type="dxa"/>
          </w:tcPr>
          <w:p w14:paraId="32AC3B8A"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IS</w:t>
            </w:r>
          </w:p>
        </w:tc>
        <w:tc>
          <w:tcPr>
            <w:tcW w:w="1344" w:type="dxa"/>
          </w:tcPr>
          <w:p w14:paraId="1474DEB3"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1.00</w:t>
            </w:r>
          </w:p>
        </w:tc>
        <w:tc>
          <w:tcPr>
            <w:tcW w:w="1344" w:type="dxa"/>
          </w:tcPr>
          <w:p w14:paraId="62902A0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3.43%</w:t>
            </w:r>
          </w:p>
        </w:tc>
        <w:tc>
          <w:tcPr>
            <w:tcW w:w="1344" w:type="dxa"/>
          </w:tcPr>
          <w:p w14:paraId="4FA946CD"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-5.02%</w:t>
            </w:r>
          </w:p>
        </w:tc>
        <w:tc>
          <w:tcPr>
            <w:tcW w:w="1344" w:type="dxa"/>
          </w:tcPr>
          <w:p w14:paraId="2C0E14C5"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w:t>
            </w:r>
          </w:p>
        </w:tc>
      </w:tr>
      <w:tr w:rsidR="00F54D8F" w14:paraId="514559BA"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7D4C7D7" w14:textId="77777777" w:rsidR="00F54D8F" w:rsidRDefault="00000000">
            <w:pPr>
              <w:jc w:val="center"/>
            </w:pPr>
            <w:r>
              <w:rPr>
                <w:rFonts w:eastAsia="SimSun"/>
                <w:sz w:val="20"/>
              </w:rPr>
              <w:t>Top 20%</w:t>
            </w:r>
          </w:p>
        </w:tc>
        <w:tc>
          <w:tcPr>
            <w:tcW w:w="1344" w:type="dxa"/>
          </w:tcPr>
          <w:p w14:paraId="2903448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hysteresis</w:t>
            </w:r>
          </w:p>
        </w:tc>
        <w:tc>
          <w:tcPr>
            <w:tcW w:w="1344" w:type="dxa"/>
          </w:tcPr>
          <w:p w14:paraId="7D686BBE"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OOS</w:t>
            </w:r>
          </w:p>
        </w:tc>
        <w:tc>
          <w:tcPr>
            <w:tcW w:w="1344" w:type="dxa"/>
          </w:tcPr>
          <w:p w14:paraId="29FA5887"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2.23</w:t>
            </w:r>
          </w:p>
        </w:tc>
        <w:tc>
          <w:tcPr>
            <w:tcW w:w="1344" w:type="dxa"/>
          </w:tcPr>
          <w:p w14:paraId="0422FA4E"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2.19%</w:t>
            </w:r>
          </w:p>
        </w:tc>
        <w:tc>
          <w:tcPr>
            <w:tcW w:w="1344" w:type="dxa"/>
          </w:tcPr>
          <w:p w14:paraId="4CE92BD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-0.78%</w:t>
            </w:r>
          </w:p>
        </w:tc>
        <w:tc>
          <w:tcPr>
            <w:tcW w:w="1344" w:type="dxa"/>
          </w:tcPr>
          <w:p w14:paraId="2843EF70"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w:t>
            </w:r>
          </w:p>
        </w:tc>
      </w:tr>
      <w:tr w:rsidR="00F54D8F" w14:paraId="12D266B4"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C901DB1" w14:textId="77777777" w:rsidR="00F54D8F" w:rsidRDefault="00000000">
            <w:pPr>
              <w:jc w:val="center"/>
            </w:pPr>
            <w:r>
              <w:rPr>
                <w:rFonts w:eastAsia="SimSun"/>
                <w:sz w:val="20"/>
              </w:rPr>
              <w:t>Top 20%</w:t>
            </w:r>
          </w:p>
        </w:tc>
        <w:tc>
          <w:tcPr>
            <w:tcW w:w="1344" w:type="dxa"/>
          </w:tcPr>
          <w:p w14:paraId="6FD0096E"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hysteresis</w:t>
            </w:r>
          </w:p>
        </w:tc>
        <w:tc>
          <w:tcPr>
            <w:tcW w:w="1344" w:type="dxa"/>
          </w:tcPr>
          <w:p w14:paraId="1B06C403"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全窗</w:t>
            </w:r>
          </w:p>
        </w:tc>
        <w:tc>
          <w:tcPr>
            <w:tcW w:w="1344" w:type="dxa"/>
          </w:tcPr>
          <w:p w14:paraId="6D9A7516"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1.02</w:t>
            </w:r>
          </w:p>
        </w:tc>
        <w:tc>
          <w:tcPr>
            <w:tcW w:w="1344" w:type="dxa"/>
          </w:tcPr>
          <w:p w14:paraId="598AD09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3.07%</w:t>
            </w:r>
          </w:p>
        </w:tc>
        <w:tc>
          <w:tcPr>
            <w:tcW w:w="1344" w:type="dxa"/>
          </w:tcPr>
          <w:p w14:paraId="3D702304"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-5.02%</w:t>
            </w:r>
          </w:p>
        </w:tc>
        <w:tc>
          <w:tcPr>
            <w:tcW w:w="1344" w:type="dxa"/>
          </w:tcPr>
          <w:p w14:paraId="11FC303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133</w:t>
            </w:r>
          </w:p>
        </w:tc>
      </w:tr>
    </w:tbl>
    <w:p w14:paraId="2CBACE20" w14:textId="77777777" w:rsidR="00F54D8F" w:rsidRDefault="00000000">
      <w:pPr>
        <w:pStyle w:val="Heading2"/>
      </w:pPr>
      <w:r>
        <w:rPr>
          <w:rFonts w:ascii="SimHei" w:eastAsia="SimHei" w:hAnsi="SimHei"/>
        </w:rPr>
        <w:t>5.4 换手与成本对比</w:t>
      </w:r>
    </w:p>
    <w:p w14:paraId="15826716" w14:textId="77777777" w:rsidR="00F54D8F" w:rsidRDefault="00000000">
      <w:pPr>
        <w:jc w:val="center"/>
      </w:pPr>
      <w:r>
        <w:rPr>
          <w:noProof/>
        </w:rPr>
        <w:drawing>
          <wp:inline distT="0" distB="0" distL="0" distR="0" wp14:anchorId="5CF45E52" wp14:editId="25D364AE">
            <wp:extent cx="5580000" cy="31784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turnover.png"/>
                    <pic:cNvPicPr/>
                  </pic:nvPicPr>
                  <pic:blipFill>
                    <a:blip r:embed="rId22"/>
                    <a:stretch>
                      <a:fillRect/>
                    </a:stretch>
                  </pic:blipFill>
                  <pic:spPr>
                    <a:xfrm>
                      <a:off x="0" y="0"/>
                      <a:ext cx="5580000" cy="3178481"/>
                    </a:xfrm>
                    <a:prstGeom prst="rect">
                      <a:avLst/>
                    </a:prstGeom>
                  </pic:spPr>
                </pic:pic>
              </a:graphicData>
            </a:graphic>
          </wp:inline>
        </w:drawing>
      </w:r>
    </w:p>
    <w:p w14:paraId="46B97914" w14:textId="77777777" w:rsidR="00F54D8F" w:rsidRDefault="00000000">
      <w:pPr>
        <w:jc w:val="center"/>
      </w:pPr>
      <w:r>
        <w:rPr>
          <w:rFonts w:eastAsia="SimSun"/>
          <w:color w:val="666666"/>
          <w:sz w:val="18"/>
        </w:rPr>
        <w:t>图 17 加入 hysteresis 前后每周换手结构对比</w:t>
      </w:r>
    </w:p>
    <w:p w14:paraId="5466D60C" w14:textId="77777777" w:rsidR="00F54D8F" w:rsidRDefault="00000000">
      <w:pPr>
        <w:jc w:val="center"/>
      </w:pPr>
      <w:r>
        <w:rPr>
          <w:noProof/>
        </w:rPr>
        <w:lastRenderedPageBreak/>
        <w:drawing>
          <wp:inline distT="0" distB="0" distL="0" distR="0" wp14:anchorId="39CA2879" wp14:editId="1B7F8BD1">
            <wp:extent cx="5580000" cy="3040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ost.png"/>
                    <pic:cNvPicPr/>
                  </pic:nvPicPr>
                  <pic:blipFill>
                    <a:blip r:embed="rId23"/>
                    <a:stretch>
                      <a:fillRect/>
                    </a:stretch>
                  </pic:blipFill>
                  <pic:spPr>
                    <a:xfrm>
                      <a:off x="0" y="0"/>
                      <a:ext cx="5580000" cy="3040176"/>
                    </a:xfrm>
                    <a:prstGeom prst="rect">
                      <a:avLst/>
                    </a:prstGeom>
                  </pic:spPr>
                </pic:pic>
              </a:graphicData>
            </a:graphic>
          </wp:inline>
        </w:drawing>
      </w:r>
    </w:p>
    <w:p w14:paraId="082E65C7" w14:textId="77777777" w:rsidR="00F54D8F" w:rsidRDefault="00000000">
      <w:pPr>
        <w:jc w:val="center"/>
      </w:pPr>
      <w:r>
        <w:rPr>
          <w:rFonts w:eastAsia="SimSun"/>
          <w:color w:val="666666"/>
          <w:sz w:val="18"/>
        </w:rPr>
        <w:t>图 18 baseline 与 hysteresis 的年化成本对比</w:t>
      </w:r>
    </w:p>
    <w:p w14:paraId="7703277B" w14:textId="77777777" w:rsidR="00F54D8F" w:rsidRDefault="00000000">
      <w:pPr>
        <w:spacing w:after="80" w:line="336" w:lineRule="auto"/>
        <w:ind w:firstLine="454"/>
      </w:pPr>
      <w:r>
        <w:rPr>
          <w:rFonts w:eastAsia="SimSun"/>
        </w:rPr>
        <w:t>关键结论：</w:t>
      </w:r>
    </w:p>
    <w:p w14:paraId="4F0E8F9F" w14:textId="77777777" w:rsidR="00F54D8F" w:rsidRDefault="00000000">
      <w:pPr>
        <w:pStyle w:val="ListBullet"/>
        <w:spacing w:after="40" w:line="312" w:lineRule="auto"/>
      </w:pPr>
      <w:r>
        <w:rPr>
          <w:rFonts w:eastAsia="SimSun"/>
        </w:rPr>
        <w:t>Top 5%：净夏普 0.97 → 1.23，CAGR 1.75% → 2.19%，年化成本 152 bps → 110 bps；样本外净夏普由 0.59 提升至 1.15，几乎翻倍。</w:t>
      </w:r>
    </w:p>
    <w:p w14:paraId="7CA89CDA" w14:textId="77777777" w:rsidR="00F54D8F" w:rsidRDefault="00000000">
      <w:pPr>
        <w:pStyle w:val="ListBullet"/>
        <w:spacing w:after="40" w:line="312" w:lineRule="auto"/>
      </w:pPr>
      <w:r>
        <w:rPr>
          <w:rFonts w:eastAsia="SimSun"/>
        </w:rPr>
        <w:t>Top 10%：净夏普 0.83 → 0.97，CAGR 1.79% → 2.12%，年化成本 150 bps → 126 bps；样本外净夏普由 1.47 提升至 1.82。</w:t>
      </w:r>
    </w:p>
    <w:p w14:paraId="6B964C15" w14:textId="77777777" w:rsidR="00F54D8F" w:rsidRDefault="00000000">
      <w:pPr>
        <w:pStyle w:val="ListBullet"/>
        <w:spacing w:after="40" w:line="312" w:lineRule="auto"/>
      </w:pPr>
      <w:r>
        <w:rPr>
          <w:rFonts w:eastAsia="SimSun"/>
        </w:rPr>
        <w:t>Top 20%：净夏普 1.01 → 1.02（基本持平），CAGR 3.09% → 3.07%，年化成本 145 bps → 133 bps；样本外净夏普由 2.07 上升至 2.23——高集中度分位阈值本身的 α 稳定性已很高，hysteresis 的边际改善主要集中在成本压缩上。</w:t>
      </w:r>
    </w:p>
    <w:p w14:paraId="7FF1A940" w14:textId="77777777" w:rsidR="00F54D8F" w:rsidRDefault="00000000">
      <w:pPr>
        <w:spacing w:after="80" w:line="336" w:lineRule="auto"/>
        <w:ind w:firstLine="454"/>
      </w:pPr>
      <w:r>
        <w:rPr>
          <w:rFonts w:eastAsia="SimSun"/>
        </w:rPr>
        <w:t>整体来看，hysteresis 是一次“低风险、高回报”的机制升级：毛夏普基本持平甚至略有上升，成本下降 8–28%，净夏普与净 CAGR 均获得实质改善，尤其是集中度更高的两个 cell（Top 5% / Top 10%）在样本外的表现明显更稳。</w:t>
      </w:r>
    </w:p>
    <w:p w14:paraId="74F7048B" w14:textId="77777777" w:rsidR="00F54D8F" w:rsidRDefault="00000000">
      <w:pPr>
        <w:pStyle w:val="Heading2"/>
        <w:rPr>
          <w:lang w:eastAsia="zh-CN"/>
        </w:rPr>
      </w:pPr>
      <w:r>
        <w:rPr>
          <w:rFonts w:ascii="SimHei" w:eastAsia="SimHei" w:hAnsi="SimHei"/>
          <w:lang w:eastAsia="zh-CN"/>
        </w:rPr>
        <w:t>5.5 分年度表现明细</w:t>
      </w:r>
    </w:p>
    <w:p w14:paraId="437631EC" w14:textId="77777777" w:rsidR="00F54D8F" w:rsidRDefault="00000000">
      <w:pPr>
        <w:spacing w:after="80" w:line="336" w:lineRule="auto"/>
        <w:ind w:firstLine="454"/>
        <w:rPr>
          <w:lang w:eastAsia="zh-CN"/>
        </w:rPr>
      </w:pPr>
      <w:r>
        <w:rPr>
          <w:rFonts w:eastAsia="SimSun"/>
          <w:lang w:eastAsia="zh-CN"/>
        </w:rPr>
        <w:t>为了更细致地检视三个加入 hysteresis 的方案在不同市场环境下的表现，以下按自然年拆分：全年收益、年化夏普、年内最大回撤、平均单边换手。所有指标同样为 10bp/单边成本口径下的净值。注：2018 年为半年（自 6 月起），2025 年为半年（至 7 月止）。</w:t>
      </w:r>
    </w:p>
    <w:p w14:paraId="2865F417" w14:textId="77777777" w:rsidR="00F54D8F" w:rsidRDefault="00000000">
      <w:pPr>
        <w:spacing w:after="80" w:line="336" w:lineRule="auto"/>
      </w:pPr>
      <w:r>
        <w:rPr>
          <w:rFonts w:eastAsia="SimSun"/>
        </w:rPr>
        <w:t>Top 5%（hysteresis：replace, ε = 0.30）：</w:t>
      </w:r>
    </w:p>
    <w:tbl>
      <w:tblPr>
        <w:tblStyle w:val="LightGrid-Accent1"/>
        <w:tblW w:w="0" w:type="auto"/>
        <w:jc w:val="center"/>
        <w:tblLook w:val="04A0" w:firstRow="1" w:lastRow="0" w:firstColumn="1" w:lastColumn="0" w:noHBand="0" w:noVBand="1"/>
      </w:tblPr>
      <w:tblGrid>
        <w:gridCol w:w="1247"/>
        <w:gridCol w:w="1474"/>
        <w:gridCol w:w="1361"/>
        <w:gridCol w:w="1587"/>
        <w:gridCol w:w="1814"/>
        <w:gridCol w:w="1020"/>
      </w:tblGrid>
      <w:tr w:rsidR="00F54D8F" w14:paraId="78BF4F61" w14:textId="77777777" w:rsidTr="00F54D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6A51E986" w14:textId="77777777" w:rsidR="00F54D8F" w:rsidRDefault="00000000">
            <w:pPr>
              <w:jc w:val="center"/>
            </w:pPr>
            <w:r>
              <w:rPr>
                <w:rFonts w:eastAsia="SimSun"/>
                <w:sz w:val="20"/>
              </w:rPr>
              <w:t>年份</w:t>
            </w:r>
          </w:p>
        </w:tc>
        <w:tc>
          <w:tcPr>
            <w:tcW w:w="1474" w:type="dxa"/>
          </w:tcPr>
          <w:p w14:paraId="6378AB58"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全年收益</w:t>
            </w:r>
          </w:p>
        </w:tc>
        <w:tc>
          <w:tcPr>
            <w:tcW w:w="1361" w:type="dxa"/>
          </w:tcPr>
          <w:p w14:paraId="27523DDD"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年化夏普</w:t>
            </w:r>
          </w:p>
        </w:tc>
        <w:tc>
          <w:tcPr>
            <w:tcW w:w="1587" w:type="dxa"/>
          </w:tcPr>
          <w:p w14:paraId="191C1A88"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年内最大回撤</w:t>
            </w:r>
          </w:p>
        </w:tc>
        <w:tc>
          <w:tcPr>
            <w:tcW w:w="1814" w:type="dxa"/>
          </w:tcPr>
          <w:p w14:paraId="6632A5AD" w14:textId="153E91F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平均</w:t>
            </w:r>
            <w:r w:rsidR="002068BA">
              <w:rPr>
                <w:rFonts w:eastAsia="SimSun" w:hint="eastAsia"/>
                <w:sz w:val="20"/>
                <w:lang w:eastAsia="zh-CN"/>
              </w:rPr>
              <w:t>双</w:t>
            </w:r>
            <w:r>
              <w:rPr>
                <w:rFonts w:eastAsia="SimSun"/>
                <w:sz w:val="20"/>
              </w:rPr>
              <w:t>边换手</w:t>
            </w:r>
          </w:p>
        </w:tc>
        <w:tc>
          <w:tcPr>
            <w:tcW w:w="1020" w:type="dxa"/>
          </w:tcPr>
          <w:p w14:paraId="400AC89F"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周数</w:t>
            </w:r>
          </w:p>
        </w:tc>
      </w:tr>
      <w:tr w:rsidR="00F54D8F" w14:paraId="365DEB67"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5E55315A" w14:textId="77777777" w:rsidR="00F54D8F" w:rsidRDefault="00000000">
            <w:pPr>
              <w:jc w:val="center"/>
            </w:pPr>
            <w:r>
              <w:rPr>
                <w:rFonts w:eastAsia="SimSun"/>
                <w:sz w:val="20"/>
              </w:rPr>
              <w:t>2018</w:t>
            </w:r>
          </w:p>
        </w:tc>
        <w:tc>
          <w:tcPr>
            <w:tcW w:w="1474" w:type="dxa"/>
          </w:tcPr>
          <w:p w14:paraId="05531FF1"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1.44%</w:t>
            </w:r>
          </w:p>
        </w:tc>
        <w:tc>
          <w:tcPr>
            <w:tcW w:w="1361" w:type="dxa"/>
          </w:tcPr>
          <w:p w14:paraId="60FD16A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2.14</w:t>
            </w:r>
          </w:p>
        </w:tc>
        <w:tc>
          <w:tcPr>
            <w:tcW w:w="1587" w:type="dxa"/>
          </w:tcPr>
          <w:p w14:paraId="685ABDB0"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-0.06%</w:t>
            </w:r>
          </w:p>
        </w:tc>
        <w:tc>
          <w:tcPr>
            <w:tcW w:w="1814" w:type="dxa"/>
          </w:tcPr>
          <w:p w14:paraId="7C2BEB8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0.032</w:t>
            </w:r>
          </w:p>
        </w:tc>
        <w:tc>
          <w:tcPr>
            <w:tcW w:w="1020" w:type="dxa"/>
          </w:tcPr>
          <w:p w14:paraId="3BF80ED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31</w:t>
            </w:r>
          </w:p>
        </w:tc>
      </w:tr>
      <w:tr w:rsidR="00F54D8F" w14:paraId="6DF454D2"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4C1CA915" w14:textId="77777777" w:rsidR="00F54D8F" w:rsidRDefault="00000000">
            <w:pPr>
              <w:jc w:val="center"/>
            </w:pPr>
            <w:r>
              <w:rPr>
                <w:rFonts w:eastAsia="SimSun"/>
                <w:sz w:val="20"/>
              </w:rPr>
              <w:t>2019</w:t>
            </w:r>
          </w:p>
        </w:tc>
        <w:tc>
          <w:tcPr>
            <w:tcW w:w="1474" w:type="dxa"/>
          </w:tcPr>
          <w:p w14:paraId="028F5C3B"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5.04%</w:t>
            </w:r>
          </w:p>
        </w:tc>
        <w:tc>
          <w:tcPr>
            <w:tcW w:w="1361" w:type="dxa"/>
          </w:tcPr>
          <w:p w14:paraId="50D1EF7E"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2.11</w:t>
            </w:r>
          </w:p>
        </w:tc>
        <w:tc>
          <w:tcPr>
            <w:tcW w:w="1587" w:type="dxa"/>
          </w:tcPr>
          <w:p w14:paraId="20DD8720"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-1.25%</w:t>
            </w:r>
          </w:p>
        </w:tc>
        <w:tc>
          <w:tcPr>
            <w:tcW w:w="1814" w:type="dxa"/>
          </w:tcPr>
          <w:p w14:paraId="6D9592A4"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0.322</w:t>
            </w:r>
          </w:p>
        </w:tc>
        <w:tc>
          <w:tcPr>
            <w:tcW w:w="1020" w:type="dxa"/>
          </w:tcPr>
          <w:p w14:paraId="1E278A60"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52</w:t>
            </w:r>
          </w:p>
        </w:tc>
      </w:tr>
      <w:tr w:rsidR="00F54D8F" w14:paraId="3EA14191"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5166F539" w14:textId="77777777" w:rsidR="00F54D8F" w:rsidRDefault="00000000">
            <w:pPr>
              <w:jc w:val="center"/>
            </w:pPr>
            <w:r>
              <w:rPr>
                <w:rFonts w:eastAsia="SimSun"/>
                <w:sz w:val="20"/>
              </w:rPr>
              <w:t>2020</w:t>
            </w:r>
          </w:p>
        </w:tc>
        <w:tc>
          <w:tcPr>
            <w:tcW w:w="1474" w:type="dxa"/>
          </w:tcPr>
          <w:p w14:paraId="75DA6BFD"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1.97%</w:t>
            </w:r>
          </w:p>
        </w:tc>
        <w:tc>
          <w:tcPr>
            <w:tcW w:w="1361" w:type="dxa"/>
          </w:tcPr>
          <w:p w14:paraId="576DB268"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0.50</w:t>
            </w:r>
          </w:p>
        </w:tc>
        <w:tc>
          <w:tcPr>
            <w:tcW w:w="1587" w:type="dxa"/>
          </w:tcPr>
          <w:p w14:paraId="2662366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-4.57%</w:t>
            </w:r>
          </w:p>
        </w:tc>
        <w:tc>
          <w:tcPr>
            <w:tcW w:w="1814" w:type="dxa"/>
          </w:tcPr>
          <w:p w14:paraId="20CD88C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0.253</w:t>
            </w:r>
          </w:p>
        </w:tc>
        <w:tc>
          <w:tcPr>
            <w:tcW w:w="1020" w:type="dxa"/>
          </w:tcPr>
          <w:p w14:paraId="0804E3BB"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w:t>
            </w:r>
          </w:p>
        </w:tc>
      </w:tr>
      <w:tr w:rsidR="00F54D8F" w14:paraId="659F3C68"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4B5D4033" w14:textId="77777777" w:rsidR="00F54D8F" w:rsidRDefault="00000000">
            <w:pPr>
              <w:jc w:val="center"/>
            </w:pPr>
            <w:r>
              <w:rPr>
                <w:rFonts w:eastAsia="SimSun"/>
                <w:sz w:val="20"/>
              </w:rPr>
              <w:lastRenderedPageBreak/>
              <w:t>2021</w:t>
            </w:r>
          </w:p>
        </w:tc>
        <w:tc>
          <w:tcPr>
            <w:tcW w:w="1474" w:type="dxa"/>
          </w:tcPr>
          <w:p w14:paraId="5374CD4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3.88%</w:t>
            </w:r>
          </w:p>
        </w:tc>
        <w:tc>
          <w:tcPr>
            <w:tcW w:w="1361" w:type="dxa"/>
          </w:tcPr>
          <w:p w14:paraId="42F3F416"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2.57</w:t>
            </w:r>
          </w:p>
        </w:tc>
        <w:tc>
          <w:tcPr>
            <w:tcW w:w="1587" w:type="dxa"/>
          </w:tcPr>
          <w:p w14:paraId="23E7BAEC"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-0.70%</w:t>
            </w:r>
          </w:p>
        </w:tc>
        <w:tc>
          <w:tcPr>
            <w:tcW w:w="1814" w:type="dxa"/>
          </w:tcPr>
          <w:p w14:paraId="0BFABBCA"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0.184</w:t>
            </w:r>
          </w:p>
        </w:tc>
        <w:tc>
          <w:tcPr>
            <w:tcW w:w="1020" w:type="dxa"/>
          </w:tcPr>
          <w:p w14:paraId="2D02F5DF"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53</w:t>
            </w:r>
          </w:p>
        </w:tc>
      </w:tr>
      <w:tr w:rsidR="00F54D8F" w14:paraId="2A1E875F"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28DD5E2A" w14:textId="77777777" w:rsidR="00F54D8F" w:rsidRDefault="00000000">
            <w:pPr>
              <w:jc w:val="center"/>
            </w:pPr>
            <w:r>
              <w:rPr>
                <w:rFonts w:eastAsia="SimSun"/>
                <w:sz w:val="20"/>
              </w:rPr>
              <w:t>2022</w:t>
            </w:r>
          </w:p>
        </w:tc>
        <w:tc>
          <w:tcPr>
            <w:tcW w:w="1474" w:type="dxa"/>
          </w:tcPr>
          <w:p w14:paraId="4F7238D0"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1.08%</w:t>
            </w:r>
          </w:p>
        </w:tc>
        <w:tc>
          <w:tcPr>
            <w:tcW w:w="1361" w:type="dxa"/>
          </w:tcPr>
          <w:p w14:paraId="6BFA6F4F"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1.54</w:t>
            </w:r>
          </w:p>
        </w:tc>
        <w:tc>
          <w:tcPr>
            <w:tcW w:w="1587" w:type="dxa"/>
          </w:tcPr>
          <w:p w14:paraId="018D0B2F"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-0.65%</w:t>
            </w:r>
          </w:p>
        </w:tc>
        <w:tc>
          <w:tcPr>
            <w:tcW w:w="1814" w:type="dxa"/>
          </w:tcPr>
          <w:p w14:paraId="1AF2C9B1"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0.151</w:t>
            </w:r>
          </w:p>
        </w:tc>
        <w:tc>
          <w:tcPr>
            <w:tcW w:w="1020" w:type="dxa"/>
          </w:tcPr>
          <w:p w14:paraId="6F3046F1"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w:t>
            </w:r>
          </w:p>
        </w:tc>
      </w:tr>
      <w:tr w:rsidR="00F54D8F" w14:paraId="6075AF07"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703C1450" w14:textId="77777777" w:rsidR="00F54D8F" w:rsidRDefault="00000000">
            <w:pPr>
              <w:jc w:val="center"/>
            </w:pPr>
            <w:r>
              <w:rPr>
                <w:rFonts w:eastAsia="SimSun"/>
                <w:sz w:val="20"/>
              </w:rPr>
              <w:t>2023</w:t>
            </w:r>
          </w:p>
        </w:tc>
        <w:tc>
          <w:tcPr>
            <w:tcW w:w="1474" w:type="dxa"/>
          </w:tcPr>
          <w:p w14:paraId="4BE421DF"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1.89%</w:t>
            </w:r>
          </w:p>
        </w:tc>
        <w:tc>
          <w:tcPr>
            <w:tcW w:w="1361" w:type="dxa"/>
          </w:tcPr>
          <w:p w14:paraId="09F4359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2.45</w:t>
            </w:r>
          </w:p>
        </w:tc>
        <w:tc>
          <w:tcPr>
            <w:tcW w:w="1587" w:type="dxa"/>
          </w:tcPr>
          <w:p w14:paraId="78B7AF13"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-0.65%</w:t>
            </w:r>
          </w:p>
        </w:tc>
        <w:tc>
          <w:tcPr>
            <w:tcW w:w="1814" w:type="dxa"/>
          </w:tcPr>
          <w:p w14:paraId="39C45CF8"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0.191</w:t>
            </w:r>
          </w:p>
        </w:tc>
        <w:tc>
          <w:tcPr>
            <w:tcW w:w="1020" w:type="dxa"/>
          </w:tcPr>
          <w:p w14:paraId="3D2F73AE"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52</w:t>
            </w:r>
          </w:p>
        </w:tc>
      </w:tr>
      <w:tr w:rsidR="00F54D8F" w14:paraId="0C8DB3A1"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1DC89110" w14:textId="77777777" w:rsidR="00F54D8F" w:rsidRDefault="00000000">
            <w:pPr>
              <w:jc w:val="center"/>
            </w:pPr>
            <w:r>
              <w:rPr>
                <w:rFonts w:eastAsia="SimSun"/>
                <w:sz w:val="20"/>
              </w:rPr>
              <w:t>2024</w:t>
            </w:r>
          </w:p>
        </w:tc>
        <w:tc>
          <w:tcPr>
            <w:tcW w:w="1474" w:type="dxa"/>
          </w:tcPr>
          <w:p w14:paraId="3271CD68"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2.19%</w:t>
            </w:r>
          </w:p>
        </w:tc>
        <w:tc>
          <w:tcPr>
            <w:tcW w:w="1361" w:type="dxa"/>
          </w:tcPr>
          <w:p w14:paraId="52E1EA4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2.51</w:t>
            </w:r>
          </w:p>
        </w:tc>
        <w:tc>
          <w:tcPr>
            <w:tcW w:w="1587" w:type="dxa"/>
          </w:tcPr>
          <w:p w14:paraId="3FE52A97"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-0.65%</w:t>
            </w:r>
          </w:p>
        </w:tc>
        <w:tc>
          <w:tcPr>
            <w:tcW w:w="1814" w:type="dxa"/>
          </w:tcPr>
          <w:p w14:paraId="559FAE4F"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0.255</w:t>
            </w:r>
          </w:p>
        </w:tc>
        <w:tc>
          <w:tcPr>
            <w:tcW w:w="1020" w:type="dxa"/>
          </w:tcPr>
          <w:p w14:paraId="69EEE32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w:t>
            </w:r>
          </w:p>
        </w:tc>
      </w:tr>
      <w:tr w:rsidR="00F54D8F" w14:paraId="3373CC50"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3330D426" w14:textId="77777777" w:rsidR="00F54D8F" w:rsidRDefault="00000000">
            <w:pPr>
              <w:jc w:val="center"/>
            </w:pPr>
            <w:r>
              <w:rPr>
                <w:rFonts w:eastAsia="SimSun"/>
                <w:sz w:val="20"/>
              </w:rPr>
              <w:t>2025</w:t>
            </w:r>
          </w:p>
        </w:tc>
        <w:tc>
          <w:tcPr>
            <w:tcW w:w="1474" w:type="dxa"/>
          </w:tcPr>
          <w:p w14:paraId="7347732B"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-0.60%</w:t>
            </w:r>
          </w:p>
        </w:tc>
        <w:tc>
          <w:tcPr>
            <w:tcW w:w="1361" w:type="dxa"/>
          </w:tcPr>
          <w:p w14:paraId="171A2FC3"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-1.25</w:t>
            </w:r>
          </w:p>
        </w:tc>
        <w:tc>
          <w:tcPr>
            <w:tcW w:w="1587" w:type="dxa"/>
          </w:tcPr>
          <w:p w14:paraId="62A6F7F9"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-0.76%</w:t>
            </w:r>
          </w:p>
        </w:tc>
        <w:tc>
          <w:tcPr>
            <w:tcW w:w="1814" w:type="dxa"/>
          </w:tcPr>
          <w:p w14:paraId="3A83E4C6"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0.245</w:t>
            </w:r>
          </w:p>
        </w:tc>
        <w:tc>
          <w:tcPr>
            <w:tcW w:w="1020" w:type="dxa"/>
          </w:tcPr>
          <w:p w14:paraId="70EC472F"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30</w:t>
            </w:r>
          </w:p>
        </w:tc>
      </w:tr>
    </w:tbl>
    <w:p w14:paraId="7C71E4A9" w14:textId="77777777" w:rsidR="00F54D8F" w:rsidRDefault="00F54D8F"/>
    <w:p w14:paraId="385E322A" w14:textId="77777777" w:rsidR="00F54D8F" w:rsidRDefault="00000000">
      <w:pPr>
        <w:spacing w:after="80" w:line="336" w:lineRule="auto"/>
      </w:pPr>
      <w:r>
        <w:rPr>
          <w:rFonts w:eastAsia="SimSun"/>
        </w:rPr>
        <w:t>Top 10%（hysteresis：replace, ε = 0.50）：</w:t>
      </w:r>
    </w:p>
    <w:tbl>
      <w:tblPr>
        <w:tblStyle w:val="LightGrid-Accent1"/>
        <w:tblW w:w="0" w:type="auto"/>
        <w:jc w:val="center"/>
        <w:tblLook w:val="04A0" w:firstRow="1" w:lastRow="0" w:firstColumn="1" w:lastColumn="0" w:noHBand="0" w:noVBand="1"/>
      </w:tblPr>
      <w:tblGrid>
        <w:gridCol w:w="1247"/>
        <w:gridCol w:w="1474"/>
        <w:gridCol w:w="1361"/>
        <w:gridCol w:w="1587"/>
        <w:gridCol w:w="1814"/>
        <w:gridCol w:w="1020"/>
      </w:tblGrid>
      <w:tr w:rsidR="00F54D8F" w14:paraId="2D03E21E" w14:textId="77777777" w:rsidTr="00F54D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10B73806" w14:textId="77777777" w:rsidR="00F54D8F" w:rsidRDefault="00000000">
            <w:pPr>
              <w:jc w:val="center"/>
            </w:pPr>
            <w:r>
              <w:rPr>
                <w:rFonts w:eastAsia="SimSun"/>
                <w:sz w:val="20"/>
              </w:rPr>
              <w:t>年份</w:t>
            </w:r>
          </w:p>
        </w:tc>
        <w:tc>
          <w:tcPr>
            <w:tcW w:w="1474" w:type="dxa"/>
          </w:tcPr>
          <w:p w14:paraId="5FECEB96"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全年收益</w:t>
            </w:r>
          </w:p>
        </w:tc>
        <w:tc>
          <w:tcPr>
            <w:tcW w:w="1361" w:type="dxa"/>
          </w:tcPr>
          <w:p w14:paraId="1F16B62E"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年化夏普</w:t>
            </w:r>
          </w:p>
        </w:tc>
        <w:tc>
          <w:tcPr>
            <w:tcW w:w="1587" w:type="dxa"/>
          </w:tcPr>
          <w:p w14:paraId="4557D0A3"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年内最大回撤</w:t>
            </w:r>
          </w:p>
        </w:tc>
        <w:tc>
          <w:tcPr>
            <w:tcW w:w="1814" w:type="dxa"/>
          </w:tcPr>
          <w:p w14:paraId="54EBD375" w14:textId="1D750920"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平均</w:t>
            </w:r>
            <w:r w:rsidR="000044C6">
              <w:rPr>
                <w:rFonts w:eastAsia="SimSun" w:hint="eastAsia"/>
                <w:sz w:val="20"/>
                <w:lang w:eastAsia="zh-CN"/>
              </w:rPr>
              <w:t>双</w:t>
            </w:r>
            <w:r>
              <w:rPr>
                <w:rFonts w:eastAsia="SimSun"/>
                <w:sz w:val="20"/>
              </w:rPr>
              <w:t>边换手</w:t>
            </w:r>
          </w:p>
        </w:tc>
        <w:tc>
          <w:tcPr>
            <w:tcW w:w="1020" w:type="dxa"/>
          </w:tcPr>
          <w:p w14:paraId="761C0BF6"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周数</w:t>
            </w:r>
          </w:p>
        </w:tc>
      </w:tr>
      <w:tr w:rsidR="00F54D8F" w14:paraId="14EF0FD9"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09065538" w14:textId="77777777" w:rsidR="00F54D8F" w:rsidRDefault="00000000">
            <w:pPr>
              <w:jc w:val="center"/>
            </w:pPr>
            <w:r>
              <w:rPr>
                <w:rFonts w:eastAsia="SimSun"/>
                <w:sz w:val="20"/>
              </w:rPr>
              <w:t>2018</w:t>
            </w:r>
          </w:p>
        </w:tc>
        <w:tc>
          <w:tcPr>
            <w:tcW w:w="1474" w:type="dxa"/>
          </w:tcPr>
          <w:p w14:paraId="5300014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1.63%</w:t>
            </w:r>
          </w:p>
        </w:tc>
        <w:tc>
          <w:tcPr>
            <w:tcW w:w="1361" w:type="dxa"/>
          </w:tcPr>
          <w:p w14:paraId="423E335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2.39</w:t>
            </w:r>
          </w:p>
        </w:tc>
        <w:tc>
          <w:tcPr>
            <w:tcW w:w="1587" w:type="dxa"/>
          </w:tcPr>
          <w:p w14:paraId="6744B16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0.00%</w:t>
            </w:r>
          </w:p>
        </w:tc>
        <w:tc>
          <w:tcPr>
            <w:tcW w:w="1814" w:type="dxa"/>
          </w:tcPr>
          <w:p w14:paraId="51568E9D"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0.059</w:t>
            </w:r>
          </w:p>
        </w:tc>
        <w:tc>
          <w:tcPr>
            <w:tcW w:w="1020" w:type="dxa"/>
          </w:tcPr>
          <w:p w14:paraId="00AA00D8"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31</w:t>
            </w:r>
          </w:p>
        </w:tc>
      </w:tr>
      <w:tr w:rsidR="00F54D8F" w14:paraId="0856B0A7"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323FC636" w14:textId="77777777" w:rsidR="00F54D8F" w:rsidRDefault="00000000">
            <w:pPr>
              <w:jc w:val="center"/>
            </w:pPr>
            <w:r>
              <w:rPr>
                <w:rFonts w:eastAsia="SimSun"/>
                <w:sz w:val="20"/>
              </w:rPr>
              <w:t>2019</w:t>
            </w:r>
          </w:p>
        </w:tc>
        <w:tc>
          <w:tcPr>
            <w:tcW w:w="1474" w:type="dxa"/>
          </w:tcPr>
          <w:p w14:paraId="53A3C472"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3.54%</w:t>
            </w:r>
          </w:p>
        </w:tc>
        <w:tc>
          <w:tcPr>
            <w:tcW w:w="1361" w:type="dxa"/>
          </w:tcPr>
          <w:p w14:paraId="4CB41BCC"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1.76</w:t>
            </w:r>
          </w:p>
        </w:tc>
        <w:tc>
          <w:tcPr>
            <w:tcW w:w="1587" w:type="dxa"/>
          </w:tcPr>
          <w:p w14:paraId="349B433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-0.93%</w:t>
            </w:r>
          </w:p>
        </w:tc>
        <w:tc>
          <w:tcPr>
            <w:tcW w:w="1814" w:type="dxa"/>
          </w:tcPr>
          <w:p w14:paraId="436D7FB9"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0.389</w:t>
            </w:r>
          </w:p>
        </w:tc>
        <w:tc>
          <w:tcPr>
            <w:tcW w:w="1020" w:type="dxa"/>
          </w:tcPr>
          <w:p w14:paraId="5AC9BCA3"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52</w:t>
            </w:r>
          </w:p>
        </w:tc>
      </w:tr>
      <w:tr w:rsidR="00F54D8F" w14:paraId="4F374F34"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00C3BEAE" w14:textId="77777777" w:rsidR="00F54D8F" w:rsidRDefault="00000000">
            <w:pPr>
              <w:jc w:val="center"/>
            </w:pPr>
            <w:r>
              <w:rPr>
                <w:rFonts w:eastAsia="SimSun"/>
                <w:sz w:val="20"/>
              </w:rPr>
              <w:t>2020</w:t>
            </w:r>
          </w:p>
        </w:tc>
        <w:tc>
          <w:tcPr>
            <w:tcW w:w="1474" w:type="dxa"/>
          </w:tcPr>
          <w:p w14:paraId="7076BBAD"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3.50%</w:t>
            </w:r>
          </w:p>
        </w:tc>
        <w:tc>
          <w:tcPr>
            <w:tcW w:w="1361" w:type="dxa"/>
          </w:tcPr>
          <w:p w14:paraId="160ACAF8"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0.68</w:t>
            </w:r>
          </w:p>
        </w:tc>
        <w:tc>
          <w:tcPr>
            <w:tcW w:w="1587" w:type="dxa"/>
          </w:tcPr>
          <w:p w14:paraId="37195958"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-3.77%</w:t>
            </w:r>
          </w:p>
        </w:tc>
        <w:tc>
          <w:tcPr>
            <w:tcW w:w="1814" w:type="dxa"/>
          </w:tcPr>
          <w:p w14:paraId="6285693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0.330</w:t>
            </w:r>
          </w:p>
        </w:tc>
        <w:tc>
          <w:tcPr>
            <w:tcW w:w="1020" w:type="dxa"/>
          </w:tcPr>
          <w:p w14:paraId="33228AE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w:t>
            </w:r>
          </w:p>
        </w:tc>
      </w:tr>
      <w:tr w:rsidR="00F54D8F" w14:paraId="3A51DE09"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17E659D5" w14:textId="77777777" w:rsidR="00F54D8F" w:rsidRDefault="00000000">
            <w:pPr>
              <w:jc w:val="center"/>
            </w:pPr>
            <w:r>
              <w:rPr>
                <w:rFonts w:eastAsia="SimSun"/>
                <w:sz w:val="20"/>
              </w:rPr>
              <w:t>2021</w:t>
            </w:r>
          </w:p>
        </w:tc>
        <w:tc>
          <w:tcPr>
            <w:tcW w:w="1474" w:type="dxa"/>
          </w:tcPr>
          <w:p w14:paraId="7B10EEFB"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3.36%</w:t>
            </w:r>
          </w:p>
        </w:tc>
        <w:tc>
          <w:tcPr>
            <w:tcW w:w="1361" w:type="dxa"/>
          </w:tcPr>
          <w:p w14:paraId="53AD12A3"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1.50</w:t>
            </w:r>
          </w:p>
        </w:tc>
        <w:tc>
          <w:tcPr>
            <w:tcW w:w="1587" w:type="dxa"/>
          </w:tcPr>
          <w:p w14:paraId="31B0D002"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-1.03%</w:t>
            </w:r>
          </w:p>
        </w:tc>
        <w:tc>
          <w:tcPr>
            <w:tcW w:w="1814" w:type="dxa"/>
          </w:tcPr>
          <w:p w14:paraId="6728999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0.236</w:t>
            </w:r>
          </w:p>
        </w:tc>
        <w:tc>
          <w:tcPr>
            <w:tcW w:w="1020" w:type="dxa"/>
          </w:tcPr>
          <w:p w14:paraId="1B983C66"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53</w:t>
            </w:r>
          </w:p>
        </w:tc>
      </w:tr>
      <w:tr w:rsidR="00F54D8F" w14:paraId="121A757F"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71BFD5F5" w14:textId="77777777" w:rsidR="00F54D8F" w:rsidRDefault="00000000">
            <w:pPr>
              <w:jc w:val="center"/>
            </w:pPr>
            <w:r>
              <w:rPr>
                <w:rFonts w:eastAsia="SimSun"/>
                <w:sz w:val="20"/>
              </w:rPr>
              <w:t>2022</w:t>
            </w:r>
          </w:p>
        </w:tc>
        <w:tc>
          <w:tcPr>
            <w:tcW w:w="1474" w:type="dxa"/>
          </w:tcPr>
          <w:p w14:paraId="67801E4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-0.32%</w:t>
            </w:r>
          </w:p>
        </w:tc>
        <w:tc>
          <w:tcPr>
            <w:tcW w:w="1361" w:type="dxa"/>
          </w:tcPr>
          <w:p w14:paraId="39165073"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-0.39</w:t>
            </w:r>
          </w:p>
        </w:tc>
        <w:tc>
          <w:tcPr>
            <w:tcW w:w="1587" w:type="dxa"/>
          </w:tcPr>
          <w:p w14:paraId="281930A2"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-1.00%</w:t>
            </w:r>
          </w:p>
        </w:tc>
        <w:tc>
          <w:tcPr>
            <w:tcW w:w="1814" w:type="dxa"/>
          </w:tcPr>
          <w:p w14:paraId="696B7D0F"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0.191</w:t>
            </w:r>
          </w:p>
        </w:tc>
        <w:tc>
          <w:tcPr>
            <w:tcW w:w="1020" w:type="dxa"/>
          </w:tcPr>
          <w:p w14:paraId="5BA989DB"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w:t>
            </w:r>
          </w:p>
        </w:tc>
      </w:tr>
      <w:tr w:rsidR="00F54D8F" w14:paraId="77F4CE8A"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1C1A41EF" w14:textId="77777777" w:rsidR="00F54D8F" w:rsidRDefault="00000000">
            <w:pPr>
              <w:jc w:val="center"/>
            </w:pPr>
            <w:r>
              <w:rPr>
                <w:rFonts w:eastAsia="SimSun"/>
                <w:sz w:val="20"/>
              </w:rPr>
              <w:t>2023</w:t>
            </w:r>
          </w:p>
        </w:tc>
        <w:tc>
          <w:tcPr>
            <w:tcW w:w="1474" w:type="dxa"/>
          </w:tcPr>
          <w:p w14:paraId="36603B8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1.90%</w:t>
            </w:r>
          </w:p>
        </w:tc>
        <w:tc>
          <w:tcPr>
            <w:tcW w:w="1361" w:type="dxa"/>
          </w:tcPr>
          <w:p w14:paraId="24D86B62"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2.16</w:t>
            </w:r>
          </w:p>
        </w:tc>
        <w:tc>
          <w:tcPr>
            <w:tcW w:w="1587" w:type="dxa"/>
          </w:tcPr>
          <w:p w14:paraId="1D9C511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-0.88%</w:t>
            </w:r>
          </w:p>
        </w:tc>
        <w:tc>
          <w:tcPr>
            <w:tcW w:w="1814" w:type="dxa"/>
          </w:tcPr>
          <w:p w14:paraId="10DEB113"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0.192</w:t>
            </w:r>
          </w:p>
        </w:tc>
        <w:tc>
          <w:tcPr>
            <w:tcW w:w="1020" w:type="dxa"/>
          </w:tcPr>
          <w:p w14:paraId="4A3BECB6"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52</w:t>
            </w:r>
          </w:p>
        </w:tc>
      </w:tr>
      <w:tr w:rsidR="00F54D8F" w14:paraId="331D9711"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05A48ED4" w14:textId="77777777" w:rsidR="00F54D8F" w:rsidRDefault="00000000">
            <w:pPr>
              <w:jc w:val="center"/>
            </w:pPr>
            <w:r>
              <w:rPr>
                <w:rFonts w:eastAsia="SimSun"/>
                <w:sz w:val="20"/>
              </w:rPr>
              <w:t>2024</w:t>
            </w:r>
          </w:p>
        </w:tc>
        <w:tc>
          <w:tcPr>
            <w:tcW w:w="1474" w:type="dxa"/>
          </w:tcPr>
          <w:p w14:paraId="150816E3"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3.01%</w:t>
            </w:r>
          </w:p>
        </w:tc>
        <w:tc>
          <w:tcPr>
            <w:tcW w:w="1361" w:type="dxa"/>
          </w:tcPr>
          <w:p w14:paraId="7262BAF5"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3.37</w:t>
            </w:r>
          </w:p>
        </w:tc>
        <w:tc>
          <w:tcPr>
            <w:tcW w:w="1587" w:type="dxa"/>
          </w:tcPr>
          <w:p w14:paraId="50AB478F"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-0.46%</w:t>
            </w:r>
          </w:p>
        </w:tc>
        <w:tc>
          <w:tcPr>
            <w:tcW w:w="1814" w:type="dxa"/>
          </w:tcPr>
          <w:p w14:paraId="55E50AD8"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0.206</w:t>
            </w:r>
          </w:p>
        </w:tc>
        <w:tc>
          <w:tcPr>
            <w:tcW w:w="1020" w:type="dxa"/>
          </w:tcPr>
          <w:p w14:paraId="4EDDEEC3"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w:t>
            </w:r>
          </w:p>
        </w:tc>
      </w:tr>
      <w:tr w:rsidR="00F54D8F" w14:paraId="294BC6EB"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1139340E" w14:textId="77777777" w:rsidR="00F54D8F" w:rsidRDefault="00000000">
            <w:pPr>
              <w:jc w:val="center"/>
            </w:pPr>
            <w:r>
              <w:rPr>
                <w:rFonts w:eastAsia="SimSun"/>
                <w:sz w:val="20"/>
              </w:rPr>
              <w:t>2025</w:t>
            </w:r>
          </w:p>
        </w:tc>
        <w:tc>
          <w:tcPr>
            <w:tcW w:w="1474" w:type="dxa"/>
          </w:tcPr>
          <w:p w14:paraId="5A8EBE7F"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-0.37%</w:t>
            </w:r>
          </w:p>
        </w:tc>
        <w:tc>
          <w:tcPr>
            <w:tcW w:w="1361" w:type="dxa"/>
          </w:tcPr>
          <w:p w14:paraId="312EFDEE"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-0.71</w:t>
            </w:r>
          </w:p>
        </w:tc>
        <w:tc>
          <w:tcPr>
            <w:tcW w:w="1587" w:type="dxa"/>
          </w:tcPr>
          <w:p w14:paraId="72D06D99"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-0.76%</w:t>
            </w:r>
          </w:p>
        </w:tc>
        <w:tc>
          <w:tcPr>
            <w:tcW w:w="1814" w:type="dxa"/>
          </w:tcPr>
          <w:p w14:paraId="4109742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0.274</w:t>
            </w:r>
          </w:p>
        </w:tc>
        <w:tc>
          <w:tcPr>
            <w:tcW w:w="1020" w:type="dxa"/>
          </w:tcPr>
          <w:p w14:paraId="22B8DEE5"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30</w:t>
            </w:r>
          </w:p>
        </w:tc>
      </w:tr>
    </w:tbl>
    <w:p w14:paraId="5B1AE309" w14:textId="77777777" w:rsidR="00F54D8F" w:rsidRDefault="00F54D8F"/>
    <w:p w14:paraId="3184BCEB" w14:textId="77777777" w:rsidR="00F54D8F" w:rsidRDefault="00000000">
      <w:pPr>
        <w:spacing w:after="80" w:line="336" w:lineRule="auto"/>
      </w:pPr>
      <w:r>
        <w:rPr>
          <w:rFonts w:eastAsia="SimSun"/>
        </w:rPr>
        <w:t>Top 20%（hysteresis：replace, ε = 0.20）：</w:t>
      </w:r>
    </w:p>
    <w:tbl>
      <w:tblPr>
        <w:tblStyle w:val="LightGrid-Accent1"/>
        <w:tblW w:w="0" w:type="auto"/>
        <w:jc w:val="center"/>
        <w:tblLook w:val="04A0" w:firstRow="1" w:lastRow="0" w:firstColumn="1" w:lastColumn="0" w:noHBand="0" w:noVBand="1"/>
      </w:tblPr>
      <w:tblGrid>
        <w:gridCol w:w="1247"/>
        <w:gridCol w:w="1474"/>
        <w:gridCol w:w="1361"/>
        <w:gridCol w:w="1587"/>
        <w:gridCol w:w="1814"/>
        <w:gridCol w:w="1020"/>
      </w:tblGrid>
      <w:tr w:rsidR="00F54D8F" w14:paraId="7CAF5166" w14:textId="77777777" w:rsidTr="00F54D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4C504562" w14:textId="77777777" w:rsidR="00F54D8F" w:rsidRDefault="00000000">
            <w:pPr>
              <w:jc w:val="center"/>
            </w:pPr>
            <w:r>
              <w:rPr>
                <w:rFonts w:eastAsia="SimSun"/>
                <w:sz w:val="20"/>
              </w:rPr>
              <w:t>年份</w:t>
            </w:r>
          </w:p>
        </w:tc>
        <w:tc>
          <w:tcPr>
            <w:tcW w:w="1474" w:type="dxa"/>
          </w:tcPr>
          <w:p w14:paraId="3E829B6A"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全年收益</w:t>
            </w:r>
          </w:p>
        </w:tc>
        <w:tc>
          <w:tcPr>
            <w:tcW w:w="1361" w:type="dxa"/>
          </w:tcPr>
          <w:p w14:paraId="3391110B"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年化夏普</w:t>
            </w:r>
          </w:p>
        </w:tc>
        <w:tc>
          <w:tcPr>
            <w:tcW w:w="1587" w:type="dxa"/>
          </w:tcPr>
          <w:p w14:paraId="5F479D2C"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年内最大回撤</w:t>
            </w:r>
          </w:p>
        </w:tc>
        <w:tc>
          <w:tcPr>
            <w:tcW w:w="1814" w:type="dxa"/>
          </w:tcPr>
          <w:p w14:paraId="59659A71" w14:textId="3799BFA4"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平均</w:t>
            </w:r>
            <w:r w:rsidR="005907F9">
              <w:rPr>
                <w:rFonts w:eastAsia="SimSun" w:hint="eastAsia"/>
                <w:sz w:val="20"/>
                <w:lang w:eastAsia="zh-CN"/>
              </w:rPr>
              <w:t>双</w:t>
            </w:r>
            <w:r>
              <w:rPr>
                <w:rFonts w:eastAsia="SimSun"/>
                <w:sz w:val="20"/>
              </w:rPr>
              <w:t>边换手</w:t>
            </w:r>
          </w:p>
        </w:tc>
        <w:tc>
          <w:tcPr>
            <w:tcW w:w="1020" w:type="dxa"/>
          </w:tcPr>
          <w:p w14:paraId="29E2CBC0" w14:textId="77777777" w:rsidR="00F54D8F" w:rsidRDefault="00000000">
            <w:pPr>
              <w:jc w:val="center"/>
              <w:cnfStyle w:val="100000000000" w:firstRow="1" w:lastRow="0" w:firstColumn="0" w:lastColumn="0" w:oddVBand="0" w:evenVBand="0" w:oddHBand="0" w:evenHBand="0" w:firstRowFirstColumn="0" w:firstRowLastColumn="0" w:lastRowFirstColumn="0" w:lastRowLastColumn="0"/>
            </w:pPr>
            <w:r>
              <w:rPr>
                <w:rFonts w:eastAsia="SimSun"/>
                <w:sz w:val="20"/>
              </w:rPr>
              <w:t>周数</w:t>
            </w:r>
          </w:p>
        </w:tc>
      </w:tr>
      <w:tr w:rsidR="00F54D8F" w14:paraId="18DD7DB3"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6CD2AF49" w14:textId="77777777" w:rsidR="00F54D8F" w:rsidRDefault="00000000">
            <w:pPr>
              <w:jc w:val="center"/>
            </w:pPr>
            <w:r>
              <w:rPr>
                <w:rFonts w:eastAsia="SimSun"/>
                <w:sz w:val="20"/>
              </w:rPr>
              <w:t>2018</w:t>
            </w:r>
          </w:p>
        </w:tc>
        <w:tc>
          <w:tcPr>
            <w:tcW w:w="1474" w:type="dxa"/>
          </w:tcPr>
          <w:p w14:paraId="699B7FAC"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1.00%</w:t>
            </w:r>
          </w:p>
        </w:tc>
        <w:tc>
          <w:tcPr>
            <w:tcW w:w="1361" w:type="dxa"/>
          </w:tcPr>
          <w:p w14:paraId="0D7DE8F1"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2.08</w:t>
            </w:r>
          </w:p>
        </w:tc>
        <w:tc>
          <w:tcPr>
            <w:tcW w:w="1587" w:type="dxa"/>
          </w:tcPr>
          <w:p w14:paraId="325E17E7"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-0.05%</w:t>
            </w:r>
          </w:p>
        </w:tc>
        <w:tc>
          <w:tcPr>
            <w:tcW w:w="1814" w:type="dxa"/>
          </w:tcPr>
          <w:p w14:paraId="5EC7D527"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0.043</w:t>
            </w:r>
          </w:p>
        </w:tc>
        <w:tc>
          <w:tcPr>
            <w:tcW w:w="1020" w:type="dxa"/>
          </w:tcPr>
          <w:p w14:paraId="33492A03"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31</w:t>
            </w:r>
          </w:p>
        </w:tc>
      </w:tr>
      <w:tr w:rsidR="00F54D8F" w14:paraId="6822FC9D"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042BEFE2" w14:textId="77777777" w:rsidR="00F54D8F" w:rsidRDefault="00000000">
            <w:pPr>
              <w:jc w:val="center"/>
            </w:pPr>
            <w:r>
              <w:rPr>
                <w:rFonts w:eastAsia="SimSun"/>
                <w:sz w:val="20"/>
              </w:rPr>
              <w:t>2019</w:t>
            </w:r>
          </w:p>
        </w:tc>
        <w:tc>
          <w:tcPr>
            <w:tcW w:w="1474" w:type="dxa"/>
          </w:tcPr>
          <w:p w14:paraId="249E58E4"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9.96%</w:t>
            </w:r>
          </w:p>
        </w:tc>
        <w:tc>
          <w:tcPr>
            <w:tcW w:w="1361" w:type="dxa"/>
          </w:tcPr>
          <w:p w14:paraId="69C4E79C"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3.17</w:t>
            </w:r>
          </w:p>
        </w:tc>
        <w:tc>
          <w:tcPr>
            <w:tcW w:w="1587" w:type="dxa"/>
          </w:tcPr>
          <w:p w14:paraId="41F64222"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-1.50%</w:t>
            </w:r>
          </w:p>
        </w:tc>
        <w:tc>
          <w:tcPr>
            <w:tcW w:w="1814" w:type="dxa"/>
          </w:tcPr>
          <w:p w14:paraId="1F53F2DD"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0.369</w:t>
            </w:r>
          </w:p>
        </w:tc>
        <w:tc>
          <w:tcPr>
            <w:tcW w:w="1020" w:type="dxa"/>
          </w:tcPr>
          <w:p w14:paraId="7298B9F6"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52</w:t>
            </w:r>
          </w:p>
        </w:tc>
      </w:tr>
      <w:tr w:rsidR="00F54D8F" w14:paraId="7CE7271D"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2142029B" w14:textId="77777777" w:rsidR="00F54D8F" w:rsidRDefault="00000000">
            <w:pPr>
              <w:jc w:val="center"/>
            </w:pPr>
            <w:r>
              <w:rPr>
                <w:rFonts w:eastAsia="SimSun"/>
                <w:sz w:val="20"/>
              </w:rPr>
              <w:t>2020</w:t>
            </w:r>
          </w:p>
        </w:tc>
        <w:tc>
          <w:tcPr>
            <w:tcW w:w="1474" w:type="dxa"/>
          </w:tcPr>
          <w:p w14:paraId="7C6AB98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5.97%</w:t>
            </w:r>
          </w:p>
        </w:tc>
        <w:tc>
          <w:tcPr>
            <w:tcW w:w="1361" w:type="dxa"/>
          </w:tcPr>
          <w:p w14:paraId="255CDD0B"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0.84</w:t>
            </w:r>
          </w:p>
        </w:tc>
        <w:tc>
          <w:tcPr>
            <w:tcW w:w="1587" w:type="dxa"/>
          </w:tcPr>
          <w:p w14:paraId="7698B6D9"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-5.56%</w:t>
            </w:r>
          </w:p>
        </w:tc>
        <w:tc>
          <w:tcPr>
            <w:tcW w:w="1814" w:type="dxa"/>
          </w:tcPr>
          <w:p w14:paraId="5BABAA73"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0.403</w:t>
            </w:r>
          </w:p>
        </w:tc>
        <w:tc>
          <w:tcPr>
            <w:tcW w:w="1020" w:type="dxa"/>
          </w:tcPr>
          <w:p w14:paraId="63B6F523"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w:t>
            </w:r>
          </w:p>
        </w:tc>
      </w:tr>
      <w:tr w:rsidR="00F54D8F" w14:paraId="49439E0B"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4AD476D9" w14:textId="77777777" w:rsidR="00F54D8F" w:rsidRDefault="00000000">
            <w:pPr>
              <w:jc w:val="center"/>
            </w:pPr>
            <w:r>
              <w:rPr>
                <w:rFonts w:eastAsia="SimSun"/>
                <w:sz w:val="20"/>
              </w:rPr>
              <w:t>2021</w:t>
            </w:r>
          </w:p>
        </w:tc>
        <w:tc>
          <w:tcPr>
            <w:tcW w:w="1474" w:type="dxa"/>
          </w:tcPr>
          <w:p w14:paraId="53E051A6"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3.90%</w:t>
            </w:r>
          </w:p>
        </w:tc>
        <w:tc>
          <w:tcPr>
            <w:tcW w:w="1361" w:type="dxa"/>
          </w:tcPr>
          <w:p w14:paraId="5FA93FF2"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1.07</w:t>
            </w:r>
          </w:p>
        </w:tc>
        <w:tc>
          <w:tcPr>
            <w:tcW w:w="1587" w:type="dxa"/>
          </w:tcPr>
          <w:p w14:paraId="7B06FD4E"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-1.86%</w:t>
            </w:r>
          </w:p>
        </w:tc>
        <w:tc>
          <w:tcPr>
            <w:tcW w:w="1814" w:type="dxa"/>
          </w:tcPr>
          <w:p w14:paraId="563083BC"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0.242</w:t>
            </w:r>
          </w:p>
        </w:tc>
        <w:tc>
          <w:tcPr>
            <w:tcW w:w="1020" w:type="dxa"/>
          </w:tcPr>
          <w:p w14:paraId="1E3A9A71"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53</w:t>
            </w:r>
          </w:p>
        </w:tc>
      </w:tr>
      <w:tr w:rsidR="00F54D8F" w14:paraId="5697CEB7"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4212E04A" w14:textId="77777777" w:rsidR="00F54D8F" w:rsidRDefault="00000000">
            <w:pPr>
              <w:jc w:val="center"/>
            </w:pPr>
            <w:r>
              <w:rPr>
                <w:rFonts w:eastAsia="SimSun"/>
                <w:sz w:val="20"/>
              </w:rPr>
              <w:t>2022</w:t>
            </w:r>
          </w:p>
        </w:tc>
        <w:tc>
          <w:tcPr>
            <w:tcW w:w="1474" w:type="dxa"/>
          </w:tcPr>
          <w:p w14:paraId="69335DFB"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-1.82%</w:t>
            </w:r>
          </w:p>
        </w:tc>
        <w:tc>
          <w:tcPr>
            <w:tcW w:w="1361" w:type="dxa"/>
          </w:tcPr>
          <w:p w14:paraId="72A963FC"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-1.23</w:t>
            </w:r>
          </w:p>
        </w:tc>
        <w:tc>
          <w:tcPr>
            <w:tcW w:w="1587" w:type="dxa"/>
          </w:tcPr>
          <w:p w14:paraId="676DB9C6"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-2.68%</w:t>
            </w:r>
          </w:p>
        </w:tc>
        <w:tc>
          <w:tcPr>
            <w:tcW w:w="1814" w:type="dxa"/>
          </w:tcPr>
          <w:p w14:paraId="777CCB1A"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0.201</w:t>
            </w:r>
          </w:p>
        </w:tc>
        <w:tc>
          <w:tcPr>
            <w:tcW w:w="1020" w:type="dxa"/>
          </w:tcPr>
          <w:p w14:paraId="09888D0D"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w:t>
            </w:r>
          </w:p>
        </w:tc>
      </w:tr>
      <w:tr w:rsidR="00F54D8F" w14:paraId="154DB583"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18E215A7" w14:textId="77777777" w:rsidR="00F54D8F" w:rsidRDefault="00000000">
            <w:pPr>
              <w:jc w:val="center"/>
            </w:pPr>
            <w:r>
              <w:rPr>
                <w:rFonts w:eastAsia="SimSun"/>
                <w:sz w:val="20"/>
              </w:rPr>
              <w:t>2023</w:t>
            </w:r>
          </w:p>
        </w:tc>
        <w:tc>
          <w:tcPr>
            <w:tcW w:w="1474" w:type="dxa"/>
          </w:tcPr>
          <w:p w14:paraId="346572F9"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1.84%</w:t>
            </w:r>
          </w:p>
        </w:tc>
        <w:tc>
          <w:tcPr>
            <w:tcW w:w="1361" w:type="dxa"/>
          </w:tcPr>
          <w:p w14:paraId="32F882FD"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1.52</w:t>
            </w:r>
          </w:p>
        </w:tc>
        <w:tc>
          <w:tcPr>
            <w:tcW w:w="1587" w:type="dxa"/>
          </w:tcPr>
          <w:p w14:paraId="02C5F729"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-1.11%</w:t>
            </w:r>
          </w:p>
        </w:tc>
        <w:tc>
          <w:tcPr>
            <w:tcW w:w="1814" w:type="dxa"/>
          </w:tcPr>
          <w:p w14:paraId="7FA78BCD"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0.204</w:t>
            </w:r>
          </w:p>
        </w:tc>
        <w:tc>
          <w:tcPr>
            <w:tcW w:w="1020" w:type="dxa"/>
          </w:tcPr>
          <w:p w14:paraId="59AB223F"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52</w:t>
            </w:r>
          </w:p>
        </w:tc>
      </w:tr>
      <w:tr w:rsidR="00F54D8F" w14:paraId="63DB6570" w14:textId="77777777" w:rsidTr="00F54D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61392845" w14:textId="77777777" w:rsidR="00F54D8F" w:rsidRDefault="00000000">
            <w:pPr>
              <w:jc w:val="center"/>
            </w:pPr>
            <w:r>
              <w:rPr>
                <w:rFonts w:eastAsia="SimSun"/>
                <w:sz w:val="20"/>
              </w:rPr>
              <w:t>2024</w:t>
            </w:r>
          </w:p>
        </w:tc>
        <w:tc>
          <w:tcPr>
            <w:tcW w:w="1474" w:type="dxa"/>
          </w:tcPr>
          <w:p w14:paraId="68CADC6B"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3.17%</w:t>
            </w:r>
          </w:p>
        </w:tc>
        <w:tc>
          <w:tcPr>
            <w:tcW w:w="1361" w:type="dxa"/>
          </w:tcPr>
          <w:p w14:paraId="4976F0A7"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3.09</w:t>
            </w:r>
          </w:p>
        </w:tc>
        <w:tc>
          <w:tcPr>
            <w:tcW w:w="1587" w:type="dxa"/>
          </w:tcPr>
          <w:p w14:paraId="72FB1334"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-0.30%</w:t>
            </w:r>
          </w:p>
        </w:tc>
        <w:tc>
          <w:tcPr>
            <w:tcW w:w="1814" w:type="dxa"/>
          </w:tcPr>
          <w:p w14:paraId="251C983F"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0.219</w:t>
            </w:r>
          </w:p>
        </w:tc>
        <w:tc>
          <w:tcPr>
            <w:tcW w:w="1020" w:type="dxa"/>
          </w:tcPr>
          <w:p w14:paraId="55096102" w14:textId="77777777" w:rsidR="00F54D8F" w:rsidRDefault="00000000">
            <w:pPr>
              <w:jc w:val="center"/>
              <w:cnfStyle w:val="000000100000" w:firstRow="0" w:lastRow="0" w:firstColumn="0" w:lastColumn="0" w:oddVBand="0" w:evenVBand="0" w:oddHBand="1" w:evenHBand="0" w:firstRowFirstColumn="0" w:firstRowLastColumn="0" w:lastRowFirstColumn="0" w:lastRowLastColumn="0"/>
            </w:pPr>
            <w:r>
              <w:rPr>
                <w:rFonts w:eastAsia="SimSun"/>
                <w:sz w:val="20"/>
              </w:rPr>
              <w:t>52</w:t>
            </w:r>
          </w:p>
        </w:tc>
      </w:tr>
      <w:tr w:rsidR="00F54D8F" w14:paraId="14B0FA62" w14:textId="77777777" w:rsidTr="00F54D8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7" w:type="dxa"/>
          </w:tcPr>
          <w:p w14:paraId="72CF601D" w14:textId="77777777" w:rsidR="00F54D8F" w:rsidRDefault="00000000">
            <w:pPr>
              <w:jc w:val="center"/>
            </w:pPr>
            <w:r>
              <w:rPr>
                <w:rFonts w:eastAsia="SimSun"/>
                <w:sz w:val="20"/>
              </w:rPr>
              <w:t>2025</w:t>
            </w:r>
          </w:p>
        </w:tc>
        <w:tc>
          <w:tcPr>
            <w:tcW w:w="1474" w:type="dxa"/>
          </w:tcPr>
          <w:p w14:paraId="18A71DFE"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0.30%</w:t>
            </w:r>
          </w:p>
        </w:tc>
        <w:tc>
          <w:tcPr>
            <w:tcW w:w="1361" w:type="dxa"/>
          </w:tcPr>
          <w:p w14:paraId="5E364A80"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0.59</w:t>
            </w:r>
          </w:p>
        </w:tc>
        <w:tc>
          <w:tcPr>
            <w:tcW w:w="1587" w:type="dxa"/>
          </w:tcPr>
          <w:p w14:paraId="63D4F74D"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-0.67%</w:t>
            </w:r>
          </w:p>
        </w:tc>
        <w:tc>
          <w:tcPr>
            <w:tcW w:w="1814" w:type="dxa"/>
          </w:tcPr>
          <w:p w14:paraId="7C2026E7"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0.301</w:t>
            </w:r>
          </w:p>
        </w:tc>
        <w:tc>
          <w:tcPr>
            <w:tcW w:w="1020" w:type="dxa"/>
          </w:tcPr>
          <w:p w14:paraId="78815544" w14:textId="77777777" w:rsidR="00F54D8F" w:rsidRDefault="00000000">
            <w:pPr>
              <w:jc w:val="center"/>
              <w:cnfStyle w:val="000000010000" w:firstRow="0" w:lastRow="0" w:firstColumn="0" w:lastColumn="0" w:oddVBand="0" w:evenVBand="0" w:oddHBand="0" w:evenHBand="1" w:firstRowFirstColumn="0" w:firstRowLastColumn="0" w:lastRowFirstColumn="0" w:lastRowLastColumn="0"/>
            </w:pPr>
            <w:r>
              <w:rPr>
                <w:rFonts w:eastAsia="SimSun"/>
                <w:sz w:val="20"/>
              </w:rPr>
              <w:t>30</w:t>
            </w:r>
          </w:p>
        </w:tc>
      </w:tr>
    </w:tbl>
    <w:p w14:paraId="64822BA2" w14:textId="77777777" w:rsidR="00F54D8F" w:rsidRDefault="00F54D8F"/>
    <w:p w14:paraId="70D0E23B" w14:textId="5F47DC8A" w:rsidR="00F54D8F" w:rsidRDefault="00000000">
      <w:pPr>
        <w:spacing w:after="80" w:line="336" w:lineRule="auto"/>
        <w:ind w:firstLine="454"/>
      </w:pPr>
      <w:r>
        <w:rPr>
          <w:rFonts w:eastAsia="SimSun"/>
        </w:rPr>
        <w:t>读表：</w:t>
      </w:r>
    </w:p>
    <w:p w14:paraId="1883DF5B" w14:textId="1143BBD9" w:rsidR="00F54D8F" w:rsidRDefault="00000000">
      <w:pPr>
        <w:pStyle w:val="ListBullet"/>
        <w:spacing w:after="40" w:line="312" w:lineRule="auto"/>
        <w:rPr>
          <w:lang w:eastAsia="zh-CN"/>
        </w:rPr>
      </w:pPr>
      <w:r>
        <w:rPr>
          <w:rFonts w:eastAsia="SimSun"/>
          <w:lang w:eastAsia="zh-CN"/>
        </w:rPr>
        <w:t>三个方案在 2020 年（疫情年）与 2025 年（截至 7 月，处于宏观转折窗口）都是相对困难的年份，夏普明显偏低甚至转负；其他年份三</w:t>
      </w:r>
      <w:r w:rsidR="00A41B0A">
        <w:rPr>
          <w:rFonts w:eastAsia="SimSun" w:hint="eastAsia"/>
          <w:lang w:eastAsia="zh-CN"/>
        </w:rPr>
        <w:t>个</w:t>
      </w:r>
      <w:r>
        <w:rPr>
          <w:rFonts w:eastAsia="SimSun"/>
          <w:lang w:eastAsia="zh-CN"/>
        </w:rPr>
        <w:t>方案均保持较高胜率，年化夏普稳定在 1.5 以上。</w:t>
      </w:r>
    </w:p>
    <w:p w14:paraId="5B558F67" w14:textId="77777777" w:rsidR="00F54D8F" w:rsidRDefault="00000000">
      <w:pPr>
        <w:pStyle w:val="ListBullet"/>
        <w:spacing w:after="40" w:line="312" w:lineRule="auto"/>
      </w:pPr>
      <w:r>
        <w:rPr>
          <w:rFonts w:eastAsia="SimSun"/>
        </w:rPr>
        <w:t>三方案的年度换手都稳定在 0.15–0.30 之间，说明 hysteresis 让年度间的交易节奏更平滑，避免了 baseline 里“换手忽高忽低”带来的成本不确定性。</w:t>
      </w:r>
    </w:p>
    <w:p w14:paraId="7C6B4432" w14:textId="77777777" w:rsidR="00F54D8F" w:rsidRDefault="00000000">
      <w:pPr>
        <w:pStyle w:val="Heading1"/>
      </w:pPr>
      <w:r>
        <w:rPr>
          <w:rFonts w:ascii="SimHei" w:eastAsia="SimHei" w:hAnsi="SimHei"/>
        </w:rPr>
        <w:t>六、结语与局限</w:t>
      </w:r>
    </w:p>
    <w:p w14:paraId="3A2433F1" w14:textId="77777777" w:rsidR="00F54D8F" w:rsidRDefault="00000000">
      <w:pPr>
        <w:spacing w:after="80" w:line="336" w:lineRule="auto"/>
        <w:ind w:firstLine="454"/>
        <w:rPr>
          <w:lang w:eastAsia="zh-CN"/>
        </w:rPr>
      </w:pPr>
      <w:r>
        <w:rPr>
          <w:rFonts w:eastAsia="SimSun"/>
          <w:lang w:eastAsia="zh-CN"/>
        </w:rPr>
        <w:t xml:space="preserve">本报告的目标是完整呈现 v6 项目中一个“最简可用”的策略骨架：干净的池子 + 严格的因子筛选 + 波动率反比配权 + 迟滞式调仓。这套骨架在三个不同集中度上都给出了净夏普 ≥ 1 </w:t>
      </w:r>
      <w:r>
        <w:rPr>
          <w:rFonts w:eastAsia="SimSun"/>
          <w:lang w:eastAsia="zh-CN"/>
        </w:rPr>
        <w:lastRenderedPageBreak/>
        <w:t>的可复现结果，且已经把周度调仓中最主要的成本漏洞（短周期往返选股）用一次简单的规则修复。</w:t>
      </w:r>
    </w:p>
    <w:p w14:paraId="19E96F1B" w14:textId="5EF1F48F" w:rsidR="00F54D8F" w:rsidRDefault="00000000">
      <w:pPr>
        <w:spacing w:after="80" w:line="336" w:lineRule="auto"/>
        <w:ind w:firstLine="454"/>
      </w:pPr>
      <w:r>
        <w:rPr>
          <w:rFonts w:eastAsia="SimSun"/>
          <w:lang w:eastAsia="zh-CN"/>
        </w:rPr>
        <w:t>v6 项目在此之外还尝试过收益率模型（ridge、oracle blender 等）、波动率预测与两本组合合成（two-book blending）等方向，但截至 2026-07-21 均未取得能稳定跑赢本报告基线的样本外结果</w:t>
      </w:r>
      <w:r w:rsidR="00546ED9">
        <w:rPr>
          <w:rFonts w:eastAsia="SimSun" w:hint="eastAsia"/>
          <w:lang w:eastAsia="zh-CN"/>
        </w:rPr>
        <w:t>，推测根源位于基于量价因子的选股多集中于债券，而非调仓问题。</w:t>
      </w:r>
      <w:r w:rsidR="003A51DA">
        <w:rPr>
          <w:rFonts w:eastAsia="SimSun" w:hint="eastAsia"/>
          <w:lang w:eastAsia="zh-CN"/>
        </w:rPr>
        <w:t>波动率反比调仓在多轮测试下可以推定为最优解。</w:t>
      </w:r>
      <w:r>
        <w:rPr>
          <w:rFonts w:eastAsia="SimSun" w:hint="eastAsia"/>
          <w:lang w:eastAsia="zh-CN"/>
        </w:rPr>
        <w:t>因</w:t>
      </w:r>
      <w:r>
        <w:rPr>
          <w:rFonts w:eastAsia="SimSun"/>
        </w:rPr>
        <w:t>此把 “Top-q 纯多头 + 1/σ + replace-ε hysteresis” 作为</w:t>
      </w:r>
      <w:r w:rsidR="00AB1633">
        <w:rPr>
          <w:rFonts w:eastAsia="SimSun" w:hint="eastAsia"/>
          <w:lang w:eastAsia="zh-CN"/>
        </w:rPr>
        <w:t>目前方案。</w:t>
      </w:r>
    </w:p>
    <w:p w14:paraId="2B582E62" w14:textId="77777777" w:rsidR="00F54D8F" w:rsidRDefault="00000000">
      <w:pPr>
        <w:spacing w:after="80" w:line="336" w:lineRule="auto"/>
        <w:ind w:firstLine="454"/>
        <w:rPr>
          <w:lang w:eastAsia="zh-CN"/>
        </w:rPr>
      </w:pPr>
      <w:r>
        <w:rPr>
          <w:rFonts w:eastAsia="SimSun"/>
          <w:lang w:eastAsia="zh-CN"/>
        </w:rPr>
        <w:t xml:space="preserve">已知的局限：(1) AUM 只能使用当前快照做近似广播，早年会略偏宽松；(2) 池子随时间显著扩容，早期 N 较小时的排序稳健性不如 2022 年后；(3) hysteresis 的最优 </w:t>
      </w:r>
      <w:r>
        <w:rPr>
          <w:rFonts w:eastAsia="SimSun"/>
        </w:rPr>
        <w:t>ε</w:t>
      </w:r>
      <w:r>
        <w:rPr>
          <w:rFonts w:eastAsia="SimSun"/>
          <w:lang w:eastAsia="zh-CN"/>
        </w:rPr>
        <w:t xml:space="preserve"> 是在样本内 + 样本外全窗上择优的结果，存在轻度的窗口选择偏差，但 </w:t>
      </w:r>
      <w:r>
        <w:rPr>
          <w:rFonts w:eastAsia="SimSun"/>
        </w:rPr>
        <w:t>ε</w:t>
      </w:r>
      <w:r>
        <w:rPr>
          <w:rFonts w:eastAsia="SimSun"/>
          <w:lang w:eastAsia="zh-CN"/>
        </w:rPr>
        <w:t xml:space="preserve"> 扫格显示三个 cell 在整个 </w:t>
      </w:r>
      <w:r>
        <w:rPr>
          <w:rFonts w:eastAsia="SimSun"/>
        </w:rPr>
        <w:t>ε</w:t>
      </w:r>
      <w:r>
        <w:rPr>
          <w:rFonts w:eastAsia="SimSun"/>
          <w:lang w:eastAsia="zh-CN"/>
        </w:rPr>
        <w:t xml:space="preserve"> ∈ {0.1, 0.2, 0.3, 0.5} 范围内均优于 baseline，稳健性可接受。</w:t>
      </w:r>
    </w:p>
    <w:sectPr w:rsidR="00F54D8F"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035038">
    <w:abstractNumId w:val="8"/>
  </w:num>
  <w:num w:numId="2" w16cid:durableId="1217857276">
    <w:abstractNumId w:val="6"/>
  </w:num>
  <w:num w:numId="3" w16cid:durableId="1847818532">
    <w:abstractNumId w:val="5"/>
  </w:num>
  <w:num w:numId="4" w16cid:durableId="1052775744">
    <w:abstractNumId w:val="4"/>
  </w:num>
  <w:num w:numId="5" w16cid:durableId="2010323571">
    <w:abstractNumId w:val="7"/>
  </w:num>
  <w:num w:numId="6" w16cid:durableId="1279413502">
    <w:abstractNumId w:val="3"/>
  </w:num>
  <w:num w:numId="7" w16cid:durableId="644164332">
    <w:abstractNumId w:val="2"/>
  </w:num>
  <w:num w:numId="8" w16cid:durableId="1697123598">
    <w:abstractNumId w:val="1"/>
  </w:num>
  <w:num w:numId="9" w16cid:durableId="6880235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C6"/>
    <w:rsid w:val="00034616"/>
    <w:rsid w:val="0006063C"/>
    <w:rsid w:val="001473AF"/>
    <w:rsid w:val="0015074B"/>
    <w:rsid w:val="001B1373"/>
    <w:rsid w:val="001D0569"/>
    <w:rsid w:val="002068BA"/>
    <w:rsid w:val="00212A6B"/>
    <w:rsid w:val="0029639D"/>
    <w:rsid w:val="00326F90"/>
    <w:rsid w:val="003378AC"/>
    <w:rsid w:val="003A51DA"/>
    <w:rsid w:val="00546ED9"/>
    <w:rsid w:val="005907F9"/>
    <w:rsid w:val="007415AA"/>
    <w:rsid w:val="007C4A50"/>
    <w:rsid w:val="0082456E"/>
    <w:rsid w:val="008703B3"/>
    <w:rsid w:val="00946319"/>
    <w:rsid w:val="00A41B0A"/>
    <w:rsid w:val="00A85618"/>
    <w:rsid w:val="00AA1D8D"/>
    <w:rsid w:val="00AB1633"/>
    <w:rsid w:val="00B47730"/>
    <w:rsid w:val="00CB0664"/>
    <w:rsid w:val="00F54D8F"/>
    <w:rsid w:val="00FC693F"/>
    <w:rsid w:val="00FD4E64"/>
    <w:rsid w:val="00FF6E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000CE"/>
  <w14:defaultImageDpi w14:val="300"/>
  <w15:docId w15:val="{23441567-2A46-BB43-8B3E-2B8A3BE8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hAnsi="SimSu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Allen Zhou</cp:lastModifiedBy>
  <cp:revision>22</cp:revision>
  <dcterms:created xsi:type="dcterms:W3CDTF">2013-12-23T23:15:00Z</dcterms:created>
  <dcterms:modified xsi:type="dcterms:W3CDTF">2026-07-21T23:36:00Z</dcterms:modified>
  <cp:category/>
</cp:coreProperties>
</file>