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38EA34" w14:textId="77777777" w:rsidR="00634535" w:rsidRDefault="00000000">
      <w:pPr>
        <w:jc w:val="center"/>
      </w:pPr>
      <w:r>
        <w:rPr>
          <w:rFonts w:ascii="SimHei" w:eastAsia="SimHei" w:hAnsi="SimHei"/>
          <w:b/>
          <w:sz w:val="38"/>
        </w:rPr>
        <w:t>v6 落地方案 · Hold-out 回测报告</w:t>
      </w:r>
    </w:p>
    <w:p w14:paraId="287DA8D4" w14:textId="62A9D981" w:rsidR="00634535" w:rsidRDefault="00000000">
      <w:pPr>
        <w:jc w:val="center"/>
        <w:rPr>
          <w:rFonts w:hint="eastAsia"/>
          <w:lang w:eastAsia="zh-CN"/>
        </w:rPr>
      </w:pPr>
      <w:r>
        <w:rPr>
          <w:rFonts w:eastAsia="SimSun"/>
          <w:color w:val="555555"/>
          <w:sz w:val="24"/>
        </w:rPr>
        <w:t xml:space="preserve">——两层结构 + </w:t>
      </w:r>
      <w:proofErr w:type="spellStart"/>
      <w:r>
        <w:rPr>
          <w:rFonts w:eastAsia="SimSun"/>
          <w:color w:val="555555"/>
          <w:sz w:val="24"/>
        </w:rPr>
        <w:t>全书</w:t>
      </w:r>
      <w:proofErr w:type="spellEnd"/>
      <w:r>
        <w:rPr>
          <w:rFonts w:eastAsia="SimSun"/>
          <w:color w:val="555555"/>
          <w:sz w:val="24"/>
        </w:rPr>
        <w:t xml:space="preserve"> vol-target </w:t>
      </w:r>
      <w:proofErr w:type="spellStart"/>
      <w:r>
        <w:rPr>
          <w:rFonts w:eastAsia="SimSun"/>
          <w:color w:val="555555"/>
          <w:sz w:val="24"/>
        </w:rPr>
        <w:t>杠杆的</w:t>
      </w:r>
      <w:proofErr w:type="spellEnd"/>
      <w:r>
        <w:rPr>
          <w:rFonts w:eastAsia="SimSun"/>
          <w:color w:val="555555"/>
          <w:sz w:val="24"/>
        </w:rPr>
        <w:t xml:space="preserve"> hold-out</w:t>
      </w:r>
    </w:p>
    <w:p w14:paraId="77C2A1FB" w14:textId="66ED7BFA" w:rsidR="00634535" w:rsidRDefault="00000000">
      <w:pPr>
        <w:jc w:val="center"/>
      </w:pPr>
      <w:r>
        <w:rPr>
          <w:rFonts w:eastAsia="SimSun"/>
          <w:color w:val="888888"/>
          <w:sz w:val="20"/>
        </w:rPr>
        <w:t xml:space="preserve">Hold-out </w:t>
      </w:r>
      <w:proofErr w:type="spellStart"/>
      <w:r>
        <w:rPr>
          <w:rFonts w:eastAsia="SimSun"/>
          <w:color w:val="888888"/>
          <w:sz w:val="20"/>
        </w:rPr>
        <w:t>窗口</w:t>
      </w:r>
      <w:proofErr w:type="spellEnd"/>
      <w:r>
        <w:rPr>
          <w:rFonts w:eastAsia="SimSun"/>
          <w:color w:val="888888"/>
          <w:sz w:val="20"/>
        </w:rPr>
        <w:t xml:space="preserve"> 2025-08-01 → 2026-08-04(53 </w:t>
      </w:r>
      <w:proofErr w:type="gramStart"/>
      <w:r>
        <w:rPr>
          <w:rFonts w:eastAsia="SimSun"/>
          <w:color w:val="888888"/>
          <w:sz w:val="20"/>
        </w:rPr>
        <w:t xml:space="preserve">周)   </w:t>
      </w:r>
      <w:proofErr w:type="gramEnd"/>
      <w:r>
        <w:rPr>
          <w:rFonts w:eastAsia="SimSun"/>
          <w:color w:val="888888"/>
          <w:sz w:val="20"/>
        </w:rPr>
        <w:t xml:space="preserve"> ·    两档 σ*/cap</w:t>
      </w:r>
    </w:p>
    <w:p w14:paraId="00CD19A4" w14:textId="77777777" w:rsidR="00634535" w:rsidRDefault="00634535"/>
    <w:p w14:paraId="575D5B01" w14:textId="77777777" w:rsidR="00634535" w:rsidRDefault="00000000">
      <w:pPr>
        <w:pStyle w:val="Heading1"/>
      </w:pPr>
      <w:r>
        <w:rPr>
          <w:rFonts w:ascii="SimHei" w:eastAsia="SimHei" w:hAnsi="SimHei"/>
        </w:rPr>
        <w:t>一、策略配置(冻结)</w:t>
      </w:r>
    </w:p>
    <w:p w14:paraId="33791892" w14:textId="6A89BBC5" w:rsidR="00634535" w:rsidRDefault="00000000">
      <w:pPr>
        <w:spacing w:after="80" w:line="336" w:lineRule="auto"/>
        <w:ind w:firstLine="454"/>
      </w:pPr>
      <w:r>
        <w:rPr>
          <w:rFonts w:eastAsia="SimSun"/>
        </w:rPr>
        <w:t xml:space="preserve">两层结构:base 风险预算 55/20/10/15,非-α 块使用 rep-set,α 层为 broad_cn + sector_cn 上 q=0.20、ε=0.30 的 hysteresis(replace 内核),组内 </w:t>
      </w:r>
      <w:proofErr w:type="spellStart"/>
      <w:r>
        <w:rPr>
          <w:rFonts w:eastAsia="SimSun"/>
        </w:rPr>
        <w:t>invvol</w:t>
      </w:r>
      <w:proofErr w:type="spellEnd"/>
      <w:r>
        <w:rPr>
          <w:rFonts w:eastAsia="SimSun"/>
        </w:rPr>
        <w:t xml:space="preserve"> × </w:t>
      </w:r>
      <w:proofErr w:type="spellStart"/>
      <w:r>
        <w:rPr>
          <w:rFonts w:eastAsia="SimSun"/>
        </w:rPr>
        <w:t>组间</w:t>
      </w:r>
      <w:proofErr w:type="spellEnd"/>
      <w:r>
        <w:rPr>
          <w:rFonts w:eastAsia="SimSun"/>
        </w:rPr>
        <w:t xml:space="preserve"> </w:t>
      </w:r>
      <w:proofErr w:type="spellStart"/>
      <w:r>
        <w:rPr>
          <w:rFonts w:eastAsia="SimSun"/>
        </w:rPr>
        <w:t>LW-ERC。整书采用</w:t>
      </w:r>
      <w:proofErr w:type="spellEnd"/>
      <w:r>
        <w:rPr>
          <w:rFonts w:eastAsia="SimSun"/>
        </w:rPr>
        <w:t xml:space="preserve"> vol-target 杠杆,σ_est 采用 weekly_ewma_52。成本 2 bp/单边(债)、10 bp/单边(其他)。融资端与现金端均使用 DR007(SHIBOR-1W 代理,详见附注)。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551"/>
        <w:gridCol w:w="1984"/>
      </w:tblGrid>
      <w:tr w:rsidR="00634535" w14:paraId="70ECBC4C" w14:textId="77777777" w:rsidTr="0063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7B06ADC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cell</w:t>
            </w:r>
          </w:p>
        </w:tc>
        <w:tc>
          <w:tcPr>
            <w:tcW w:w="2551" w:type="dxa"/>
          </w:tcPr>
          <w:p w14:paraId="5600613F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σ* (目标波动)</w:t>
            </w:r>
          </w:p>
        </w:tc>
        <w:tc>
          <w:tcPr>
            <w:tcW w:w="1984" w:type="dxa"/>
          </w:tcPr>
          <w:p w14:paraId="679F9A3B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杠杆 cap</w:t>
            </w:r>
          </w:p>
        </w:tc>
      </w:tr>
      <w:tr w:rsidR="00634535" w14:paraId="48CFC217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5009AE8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base_reps_lev_cap2_dr007</w:t>
            </w:r>
          </w:p>
        </w:tc>
        <w:tc>
          <w:tcPr>
            <w:tcW w:w="2551" w:type="dxa"/>
          </w:tcPr>
          <w:p w14:paraId="43439451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3.2 %</w:t>
            </w:r>
          </w:p>
        </w:tc>
        <w:tc>
          <w:tcPr>
            <w:tcW w:w="1984" w:type="dxa"/>
          </w:tcPr>
          <w:p w14:paraId="129DBFB2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2.0</w:t>
            </w:r>
          </w:p>
        </w:tc>
      </w:tr>
      <w:tr w:rsidR="00634535" w14:paraId="232A53ED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555CF8F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base_reps_lev_cap5_dr007</w:t>
            </w:r>
          </w:p>
        </w:tc>
        <w:tc>
          <w:tcPr>
            <w:tcW w:w="2551" w:type="dxa"/>
          </w:tcPr>
          <w:p w14:paraId="28088DAC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6.4 %</w:t>
            </w:r>
          </w:p>
        </w:tc>
        <w:tc>
          <w:tcPr>
            <w:tcW w:w="1984" w:type="dxa"/>
          </w:tcPr>
          <w:p w14:paraId="6B2FC876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5.0</w:t>
            </w:r>
          </w:p>
        </w:tc>
      </w:tr>
    </w:tbl>
    <w:p w14:paraId="29E264B8" w14:textId="77777777" w:rsidR="00634535" w:rsidRDefault="00000000">
      <w:pPr>
        <w:spacing w:after="80" w:line="336" w:lineRule="auto"/>
        <w:ind w:firstLine="454"/>
      </w:pPr>
      <w:r>
        <w:rPr>
          <w:rFonts w:eastAsia="SimSun"/>
        </w:rPr>
        <w:t>Hold-out 窗口 [2025-08-01, 2026-08-04] 共 53 根周频观测,为 v6 落地方案在纯新数据上的一次性观察。</w:t>
      </w:r>
    </w:p>
    <w:p w14:paraId="6D3EB478" w14:textId="77777777" w:rsidR="00634535" w:rsidRDefault="00000000">
      <w:pPr>
        <w:pStyle w:val="Heading1"/>
      </w:pPr>
      <w:r>
        <w:rPr>
          <w:rFonts w:ascii="SimHei" w:eastAsia="SimHei" w:hAnsi="SimHei"/>
        </w:rPr>
        <w:t>二、Hold-out 主要指标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551"/>
        <w:gridCol w:w="2551"/>
      </w:tblGrid>
      <w:tr w:rsidR="00634535" w14:paraId="1B534F51" w14:textId="77777777" w:rsidTr="0063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99E4054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指标</w:t>
            </w:r>
          </w:p>
        </w:tc>
        <w:tc>
          <w:tcPr>
            <w:tcW w:w="2551" w:type="dxa"/>
          </w:tcPr>
          <w:p w14:paraId="67169D2C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cap=2 (σ*=3.2 %)</w:t>
            </w:r>
          </w:p>
        </w:tc>
        <w:tc>
          <w:tcPr>
            <w:tcW w:w="2551" w:type="dxa"/>
          </w:tcPr>
          <w:p w14:paraId="699885D6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cap=5 (σ*=6.4 %)</w:t>
            </w:r>
          </w:p>
        </w:tc>
      </w:tr>
      <w:tr w:rsidR="00634535" w14:paraId="3ADB0998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6169178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有效周数</w:t>
            </w:r>
          </w:p>
        </w:tc>
        <w:tc>
          <w:tcPr>
            <w:tcW w:w="2551" w:type="dxa"/>
          </w:tcPr>
          <w:p w14:paraId="0AD78788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53</w:t>
            </w:r>
          </w:p>
        </w:tc>
        <w:tc>
          <w:tcPr>
            <w:tcW w:w="2551" w:type="dxa"/>
          </w:tcPr>
          <w:p w14:paraId="09772535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53</w:t>
            </w:r>
          </w:p>
        </w:tc>
      </w:tr>
      <w:tr w:rsidR="00634535" w14:paraId="3E070D3A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00BCD8F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净夏普</w:t>
            </w:r>
          </w:p>
        </w:tc>
        <w:tc>
          <w:tcPr>
            <w:tcW w:w="2551" w:type="dxa"/>
          </w:tcPr>
          <w:p w14:paraId="5FD9A969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+2.10</w:t>
            </w:r>
          </w:p>
        </w:tc>
        <w:tc>
          <w:tcPr>
            <w:tcW w:w="2551" w:type="dxa"/>
          </w:tcPr>
          <w:p w14:paraId="3C44FF68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+1.57</w:t>
            </w:r>
          </w:p>
        </w:tc>
      </w:tr>
      <w:tr w:rsidR="00634535" w14:paraId="4ABBE8F0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F9338BF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超额夏普 (vs DR007)</w:t>
            </w:r>
          </w:p>
        </w:tc>
        <w:tc>
          <w:tcPr>
            <w:tcW w:w="2551" w:type="dxa"/>
          </w:tcPr>
          <w:p w14:paraId="3DF4C696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+1.22</w:t>
            </w:r>
          </w:p>
        </w:tc>
        <w:tc>
          <w:tcPr>
            <w:tcW w:w="2551" w:type="dxa"/>
          </w:tcPr>
          <w:p w14:paraId="7273421B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+1.21</w:t>
            </w:r>
          </w:p>
        </w:tc>
      </w:tr>
      <w:tr w:rsidR="00634535" w14:paraId="4BA6512E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5E42504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CAGR (净)</w:t>
            </w:r>
          </w:p>
        </w:tc>
        <w:tc>
          <w:tcPr>
            <w:tcW w:w="2551" w:type="dxa"/>
          </w:tcPr>
          <w:p w14:paraId="3C6CDE86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+3.42 %</w:t>
            </w:r>
          </w:p>
        </w:tc>
        <w:tc>
          <w:tcPr>
            <w:tcW w:w="2551" w:type="dxa"/>
          </w:tcPr>
          <w:p w14:paraId="37A18CE0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+6.35 %</w:t>
            </w:r>
          </w:p>
        </w:tc>
      </w:tr>
      <w:tr w:rsidR="00634535" w14:paraId="65AB77C0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6852974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超额 CAGR (vs DR007)</w:t>
            </w:r>
          </w:p>
        </w:tc>
        <w:tc>
          <w:tcPr>
            <w:tcW w:w="2551" w:type="dxa"/>
          </w:tcPr>
          <w:p w14:paraId="7D941583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+1.99 %</w:t>
            </w:r>
          </w:p>
        </w:tc>
        <w:tc>
          <w:tcPr>
            <w:tcW w:w="2551" w:type="dxa"/>
          </w:tcPr>
          <w:p w14:paraId="350A42A5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+4.92 %</w:t>
            </w:r>
          </w:p>
        </w:tc>
      </w:tr>
      <w:tr w:rsidR="00634535" w14:paraId="67BA105D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E1DE959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年化波动 (已实现)</w:t>
            </w:r>
          </w:p>
        </w:tc>
        <w:tc>
          <w:tcPr>
            <w:tcW w:w="2551" w:type="dxa"/>
          </w:tcPr>
          <w:p w14:paraId="5C8DEB0C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1.63 %</w:t>
            </w:r>
          </w:p>
        </w:tc>
        <w:tc>
          <w:tcPr>
            <w:tcW w:w="2551" w:type="dxa"/>
          </w:tcPr>
          <w:p w14:paraId="4B7F24F8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4.06 %</w:t>
            </w:r>
          </w:p>
        </w:tc>
      </w:tr>
      <w:tr w:rsidR="00634535" w14:paraId="6ECE098C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812AA8E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最大回撤</w:t>
            </w:r>
          </w:p>
        </w:tc>
        <w:tc>
          <w:tcPr>
            <w:tcW w:w="2551" w:type="dxa"/>
          </w:tcPr>
          <w:p w14:paraId="2F260392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−0.52 %</w:t>
            </w:r>
          </w:p>
        </w:tc>
        <w:tc>
          <w:tcPr>
            <w:tcW w:w="2551" w:type="dxa"/>
          </w:tcPr>
          <w:p w14:paraId="6063C6C9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−1.40 %</w:t>
            </w:r>
          </w:p>
        </w:tc>
      </w:tr>
      <w:tr w:rsidR="00634535" w14:paraId="42FF19EA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1513BB7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Calmar</w:t>
            </w:r>
          </w:p>
        </w:tc>
        <w:tc>
          <w:tcPr>
            <w:tcW w:w="2551" w:type="dxa"/>
          </w:tcPr>
          <w:p w14:paraId="546CBF0F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6.56</w:t>
            </w:r>
          </w:p>
        </w:tc>
        <w:tc>
          <w:tcPr>
            <w:tcW w:w="2551" w:type="dxa"/>
          </w:tcPr>
          <w:p w14:paraId="6AEA8BB9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4.54</w:t>
            </w:r>
          </w:p>
        </w:tc>
      </w:tr>
      <w:tr w:rsidR="00634535" w14:paraId="124D343E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F91FA74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平均杠杆 L̄</w:t>
            </w:r>
          </w:p>
        </w:tc>
        <w:tc>
          <w:tcPr>
            <w:tcW w:w="2551" w:type="dxa"/>
          </w:tcPr>
          <w:p w14:paraId="2E4202D1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2.00</w:t>
            </w:r>
          </w:p>
        </w:tc>
        <w:tc>
          <w:tcPr>
            <w:tcW w:w="2551" w:type="dxa"/>
          </w:tcPr>
          <w:p w14:paraId="3572DB20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4.99</w:t>
            </w:r>
          </w:p>
        </w:tc>
      </w:tr>
      <w:tr w:rsidR="00634535" w14:paraId="7FF57EBD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6D9EB4B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贴 cap 周数占比</w:t>
            </w:r>
          </w:p>
        </w:tc>
        <w:tc>
          <w:tcPr>
            <w:tcW w:w="2551" w:type="dxa"/>
          </w:tcPr>
          <w:p w14:paraId="61245BA2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100 %</w:t>
            </w:r>
          </w:p>
        </w:tc>
        <w:tc>
          <w:tcPr>
            <w:tcW w:w="2551" w:type="dxa"/>
          </w:tcPr>
          <w:p w14:paraId="4ADC4951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90.6 %</w:t>
            </w:r>
          </w:p>
        </w:tc>
      </w:tr>
      <w:tr w:rsidR="00634535" w14:paraId="606BE3C2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80C2275" w14:textId="77777777" w:rsidR="00634535" w:rsidRDefault="00000000">
            <w:pPr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eastAsia="SimSun"/>
                <w:sz w:val="20"/>
              </w:rPr>
              <w:t>融资</w:t>
            </w:r>
            <w:proofErr w:type="spellEnd"/>
            <w:r>
              <w:rPr>
                <w:rFonts w:eastAsia="SimSun"/>
                <w:sz w:val="20"/>
              </w:rPr>
              <w:t xml:space="preserve"> drag</w:t>
            </w:r>
          </w:p>
        </w:tc>
        <w:tc>
          <w:tcPr>
            <w:tcW w:w="2551" w:type="dxa"/>
          </w:tcPr>
          <w:p w14:paraId="5492977A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143 bp/年</w:t>
            </w:r>
          </w:p>
        </w:tc>
        <w:tc>
          <w:tcPr>
            <w:tcW w:w="2551" w:type="dxa"/>
          </w:tcPr>
          <w:p w14:paraId="16CA0D46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572 bp/年</w:t>
            </w:r>
          </w:p>
        </w:tc>
      </w:tr>
      <w:tr w:rsidR="00634535" w14:paraId="1505A0D9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60D858F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现金 carry credit</w:t>
            </w:r>
          </w:p>
        </w:tc>
        <w:tc>
          <w:tcPr>
            <w:tcW w:w="2551" w:type="dxa"/>
          </w:tcPr>
          <w:p w14:paraId="6FC990FE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0.4 bp/年</w:t>
            </w:r>
          </w:p>
        </w:tc>
        <w:tc>
          <w:tcPr>
            <w:tcW w:w="2551" w:type="dxa"/>
          </w:tcPr>
          <w:p w14:paraId="22CC5C82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0.4 bp/年</w:t>
            </w:r>
          </w:p>
        </w:tc>
      </w:tr>
      <w:tr w:rsidR="00634535" w14:paraId="3B2B03E9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3F87276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成本 drag</w:t>
            </w:r>
          </w:p>
        </w:tc>
        <w:tc>
          <w:tcPr>
            <w:tcW w:w="2551" w:type="dxa"/>
          </w:tcPr>
          <w:p w14:paraId="3D4BD33D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31 bp/年</w:t>
            </w:r>
          </w:p>
        </w:tc>
        <w:tc>
          <w:tcPr>
            <w:tcW w:w="2551" w:type="dxa"/>
          </w:tcPr>
          <w:p w14:paraId="20F391BF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79 bp/年</w:t>
            </w:r>
          </w:p>
        </w:tc>
      </w:tr>
      <w:tr w:rsidR="00634535" w14:paraId="43716AEC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C41CBF8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组合久期(均值)</w:t>
            </w:r>
          </w:p>
        </w:tc>
        <w:tc>
          <w:tcPr>
            <w:tcW w:w="2551" w:type="dxa"/>
          </w:tcPr>
          <w:p w14:paraId="033AF07E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7.35 年</w:t>
            </w:r>
          </w:p>
        </w:tc>
        <w:tc>
          <w:tcPr>
            <w:tcW w:w="2551" w:type="dxa"/>
          </w:tcPr>
          <w:p w14:paraId="0728CDF2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18.3 年</w:t>
            </w:r>
          </w:p>
        </w:tc>
      </w:tr>
      <w:tr w:rsidR="00634535" w14:paraId="098EFECB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11FBE6F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组合久期(p95)</w:t>
            </w:r>
          </w:p>
        </w:tc>
        <w:tc>
          <w:tcPr>
            <w:tcW w:w="2551" w:type="dxa"/>
          </w:tcPr>
          <w:p w14:paraId="69D989A7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7.57 年</w:t>
            </w:r>
          </w:p>
        </w:tc>
        <w:tc>
          <w:tcPr>
            <w:tcW w:w="2551" w:type="dxa"/>
          </w:tcPr>
          <w:p w14:paraId="5982CA12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18.9 年</w:t>
            </w:r>
          </w:p>
        </w:tc>
      </w:tr>
    </w:tbl>
    <w:p w14:paraId="4DD15496" w14:textId="77777777" w:rsidR="00634535" w:rsidRDefault="00000000">
      <w:pPr>
        <w:spacing w:after="80" w:line="336" w:lineRule="auto"/>
        <w:ind w:firstLine="454"/>
      </w:pPr>
      <w:r>
        <w:rPr>
          <w:rFonts w:eastAsia="SimSun"/>
        </w:rPr>
        <w:t>两档 cell 的超额夏普基本相同(+1.22 vs +1.21),vol-target 恒等式成立;cap 只是选择波动/CAGR 预算。cap=2 在 100% 周贴到 cap,cap=5 也有 90.6% 贴到 cap,说明整个 hold-out 期 realized-vol 偏低,vol-targeter 持续需要更高杠杆。</w:t>
      </w:r>
    </w:p>
    <w:p w14:paraId="72A6EA16" w14:textId="77777777" w:rsidR="00634535" w:rsidRDefault="00000000">
      <w:pPr>
        <w:pStyle w:val="Heading1"/>
      </w:pPr>
      <w:r>
        <w:rPr>
          <w:rFonts w:ascii="SimHei" w:eastAsia="SimHei" w:hAnsi="SimHei"/>
        </w:rPr>
        <w:lastRenderedPageBreak/>
        <w:t>三、NAV 与回撤</w:t>
      </w:r>
    </w:p>
    <w:p w14:paraId="086F47E7" w14:textId="77777777" w:rsidR="00634535" w:rsidRDefault="00000000">
      <w:pPr>
        <w:spacing w:after="80" w:line="336" w:lineRule="auto"/>
        <w:ind w:firstLine="454"/>
      </w:pPr>
      <w:r>
        <w:rPr>
          <w:rFonts w:eastAsia="SimSun"/>
        </w:rPr>
        <w:t>净值以 hold-out 起点归 1(rebased to 100)。虚线为 2026-07-17 的边界(此后为新增周)。</w:t>
      </w:r>
    </w:p>
    <w:p w14:paraId="302630C7" w14:textId="77777777" w:rsidR="00634535" w:rsidRDefault="00000000">
      <w:pPr>
        <w:jc w:val="center"/>
      </w:pPr>
      <w:r>
        <w:rPr>
          <w:noProof/>
        </w:rPr>
        <w:drawing>
          <wp:inline distT="0" distB="0" distL="0" distR="0" wp14:anchorId="1D2D6F64" wp14:editId="73170EDD">
            <wp:extent cx="5580000" cy="381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_dd_hold_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FD30" w14:textId="77777777" w:rsidR="00634535" w:rsidRDefault="00000000">
      <w:pPr>
        <w:jc w:val="center"/>
        <w:rPr>
          <w:lang w:eastAsia="zh-CN"/>
        </w:rPr>
      </w:pPr>
      <w:r>
        <w:rPr>
          <w:rFonts w:eastAsia="SimSun"/>
          <w:color w:val="666666"/>
          <w:sz w:val="18"/>
          <w:lang w:eastAsia="zh-CN"/>
        </w:rPr>
        <w:t>图 1  Hold-out 窗口内累计净值与回撤</w:t>
      </w:r>
    </w:p>
    <w:p w14:paraId="19E2EB70" w14:textId="77777777" w:rsidR="00634535" w:rsidRDefault="00000000">
      <w:pPr>
        <w:spacing w:after="80" w:line="336" w:lineRule="auto"/>
        <w:ind w:firstLine="454"/>
        <w:rPr>
          <w:lang w:eastAsia="zh-CN"/>
        </w:rPr>
      </w:pPr>
      <w:r>
        <w:rPr>
          <w:rFonts w:eastAsia="SimSun"/>
          <w:lang w:eastAsia="zh-CN"/>
        </w:rPr>
        <w:t>cap=5 终值 106.6,cap=2 终值 103.5;最大回撤 −1.40% vs −0.52%。两条曲线的回撤均较浅,窗口内无单周 ≤ −2% 的事件。</w:t>
      </w:r>
    </w:p>
    <w:p w14:paraId="316EE8BA" w14:textId="77777777" w:rsidR="00634535" w:rsidRDefault="00000000">
      <w:pPr>
        <w:pStyle w:val="Heading1"/>
      </w:pPr>
      <w:proofErr w:type="spellStart"/>
      <w:r>
        <w:rPr>
          <w:rFonts w:ascii="SimHei" w:eastAsia="SimHei" w:hAnsi="SimHei"/>
        </w:rPr>
        <w:t>四、Hold-out</w:t>
      </w:r>
      <w:proofErr w:type="spellEnd"/>
      <w:r>
        <w:rPr>
          <w:rFonts w:ascii="SimHei" w:eastAsia="SimHei" w:hAnsi="SimHei"/>
        </w:rPr>
        <w:t xml:space="preserve"> </w:t>
      </w:r>
      <w:proofErr w:type="spellStart"/>
      <w:r>
        <w:rPr>
          <w:rFonts w:ascii="SimHei" w:eastAsia="SimHei" w:hAnsi="SimHei"/>
        </w:rPr>
        <w:t>内分年</w:t>
      </w:r>
      <w:proofErr w:type="spellEnd"/>
    </w:p>
    <w:p w14:paraId="06E2F487" w14:textId="77777777" w:rsidR="00634535" w:rsidRDefault="00000000">
      <w:pPr>
        <w:pStyle w:val="Heading2"/>
      </w:pPr>
      <w:r>
        <w:rPr>
          <w:rFonts w:ascii="SimHei" w:eastAsia="SimHei" w:hAnsi="SimHei"/>
        </w:rPr>
        <w:t>4.1 cap=2 (σ*=3.2 %)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:rsidR="00634535" w14:paraId="7E7666EC" w14:textId="77777777" w:rsidTr="0063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4BCB810F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年份</w:t>
            </w:r>
          </w:p>
        </w:tc>
        <w:tc>
          <w:tcPr>
            <w:tcW w:w="855" w:type="dxa"/>
          </w:tcPr>
          <w:p w14:paraId="5923081F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周数</w:t>
            </w:r>
          </w:p>
        </w:tc>
        <w:tc>
          <w:tcPr>
            <w:tcW w:w="855" w:type="dxa"/>
          </w:tcPr>
          <w:p w14:paraId="2FFB67C7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夏普</w:t>
            </w:r>
          </w:p>
        </w:tc>
        <w:tc>
          <w:tcPr>
            <w:tcW w:w="855" w:type="dxa"/>
          </w:tcPr>
          <w:p w14:paraId="5AC900F4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超额夏普</w:t>
            </w:r>
          </w:p>
        </w:tc>
        <w:tc>
          <w:tcPr>
            <w:tcW w:w="855" w:type="dxa"/>
          </w:tcPr>
          <w:p w14:paraId="6C366B4D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CAGR</w:t>
            </w:r>
          </w:p>
        </w:tc>
        <w:tc>
          <w:tcPr>
            <w:tcW w:w="855" w:type="dxa"/>
          </w:tcPr>
          <w:p w14:paraId="7EBF60EE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超额 CAGR</w:t>
            </w:r>
          </w:p>
        </w:tc>
        <w:tc>
          <w:tcPr>
            <w:tcW w:w="855" w:type="dxa"/>
          </w:tcPr>
          <w:p w14:paraId="0EF68353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波动</w:t>
            </w:r>
          </w:p>
        </w:tc>
        <w:tc>
          <w:tcPr>
            <w:tcW w:w="855" w:type="dxa"/>
          </w:tcPr>
          <w:p w14:paraId="2218BA2E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最大回撤</w:t>
            </w:r>
          </w:p>
        </w:tc>
        <w:tc>
          <w:tcPr>
            <w:tcW w:w="855" w:type="dxa"/>
          </w:tcPr>
          <w:p w14:paraId="29AB44F0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L̄</w:t>
            </w:r>
          </w:p>
        </w:tc>
        <w:tc>
          <w:tcPr>
            <w:tcW w:w="855" w:type="dxa"/>
          </w:tcPr>
          <w:p w14:paraId="2A8076F1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成本 bp</w:t>
            </w:r>
          </w:p>
        </w:tc>
        <w:tc>
          <w:tcPr>
            <w:tcW w:w="855" w:type="dxa"/>
          </w:tcPr>
          <w:p w14:paraId="1D5FC788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融资 bp</w:t>
            </w:r>
          </w:p>
        </w:tc>
      </w:tr>
      <w:tr w:rsidR="00634535" w14:paraId="59F69FAF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F57669E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2025</w:t>
            </w:r>
          </w:p>
        </w:tc>
        <w:tc>
          <w:tcPr>
            <w:tcW w:w="855" w:type="dxa"/>
          </w:tcPr>
          <w:p w14:paraId="7708910A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22</w:t>
            </w:r>
          </w:p>
        </w:tc>
        <w:tc>
          <w:tcPr>
            <w:tcW w:w="855" w:type="dxa"/>
          </w:tcPr>
          <w:p w14:paraId="1EB11E14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+2.84</w:t>
            </w:r>
          </w:p>
        </w:tc>
        <w:tc>
          <w:tcPr>
            <w:tcW w:w="855" w:type="dxa"/>
          </w:tcPr>
          <w:p w14:paraId="0BDB98E5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+1.92</w:t>
            </w:r>
          </w:p>
        </w:tc>
        <w:tc>
          <w:tcPr>
            <w:tcW w:w="855" w:type="dxa"/>
          </w:tcPr>
          <w:p w14:paraId="02854271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+4.56 %</w:t>
            </w:r>
          </w:p>
        </w:tc>
        <w:tc>
          <w:tcPr>
            <w:tcW w:w="855" w:type="dxa"/>
          </w:tcPr>
          <w:p w14:paraId="4D5293D6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+3.07 %</w:t>
            </w:r>
          </w:p>
        </w:tc>
        <w:tc>
          <w:tcPr>
            <w:tcW w:w="855" w:type="dxa"/>
          </w:tcPr>
          <w:p w14:paraId="73FE47B7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1.58 %</w:t>
            </w:r>
          </w:p>
        </w:tc>
        <w:tc>
          <w:tcPr>
            <w:tcW w:w="855" w:type="dxa"/>
          </w:tcPr>
          <w:p w14:paraId="7D12398D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−0.52 %</w:t>
            </w:r>
          </w:p>
        </w:tc>
        <w:tc>
          <w:tcPr>
            <w:tcW w:w="855" w:type="dxa"/>
          </w:tcPr>
          <w:p w14:paraId="3F36E303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2.00</w:t>
            </w:r>
          </w:p>
        </w:tc>
        <w:tc>
          <w:tcPr>
            <w:tcW w:w="855" w:type="dxa"/>
          </w:tcPr>
          <w:p w14:paraId="37AFCF9E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35.4</w:t>
            </w:r>
          </w:p>
        </w:tc>
        <w:tc>
          <w:tcPr>
            <w:tcW w:w="855" w:type="dxa"/>
          </w:tcPr>
          <w:p w14:paraId="6EBCBEF5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145.0</w:t>
            </w:r>
          </w:p>
        </w:tc>
      </w:tr>
      <w:tr w:rsidR="00634535" w14:paraId="52625B53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558DEF4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2026</w:t>
            </w:r>
          </w:p>
        </w:tc>
        <w:tc>
          <w:tcPr>
            <w:tcW w:w="855" w:type="dxa"/>
          </w:tcPr>
          <w:p w14:paraId="1D6E2370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31</w:t>
            </w:r>
          </w:p>
        </w:tc>
        <w:tc>
          <w:tcPr>
            <w:tcW w:w="855" w:type="dxa"/>
          </w:tcPr>
          <w:p w14:paraId="25524FA3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+1.59</w:t>
            </w:r>
          </w:p>
        </w:tc>
        <w:tc>
          <w:tcPr>
            <w:tcW w:w="855" w:type="dxa"/>
          </w:tcPr>
          <w:p w14:paraId="61C5F2C9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+0.74</w:t>
            </w:r>
          </w:p>
        </w:tc>
        <w:tc>
          <w:tcPr>
            <w:tcW w:w="855" w:type="dxa"/>
          </w:tcPr>
          <w:p w14:paraId="01FFE94E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+2.67 %</w:t>
            </w:r>
          </w:p>
        </w:tc>
        <w:tc>
          <w:tcPr>
            <w:tcW w:w="855" w:type="dxa"/>
          </w:tcPr>
          <w:p w14:paraId="51A61879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+1.23 %</w:t>
            </w:r>
          </w:p>
        </w:tc>
        <w:tc>
          <w:tcPr>
            <w:tcW w:w="855" w:type="dxa"/>
          </w:tcPr>
          <w:p w14:paraId="6C05AA35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1.67 %</w:t>
            </w:r>
          </w:p>
        </w:tc>
        <w:tc>
          <w:tcPr>
            <w:tcW w:w="855" w:type="dxa"/>
          </w:tcPr>
          <w:p w14:paraId="305F9257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−0.49 %</w:t>
            </w:r>
          </w:p>
        </w:tc>
        <w:tc>
          <w:tcPr>
            <w:tcW w:w="855" w:type="dxa"/>
          </w:tcPr>
          <w:p w14:paraId="5D7DDA69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2.00</w:t>
            </w:r>
          </w:p>
        </w:tc>
        <w:tc>
          <w:tcPr>
            <w:tcW w:w="855" w:type="dxa"/>
          </w:tcPr>
          <w:p w14:paraId="4030E0EF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28.6</w:t>
            </w:r>
          </w:p>
        </w:tc>
        <w:tc>
          <w:tcPr>
            <w:tcW w:w="855" w:type="dxa"/>
          </w:tcPr>
          <w:p w14:paraId="2E321528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142.2</w:t>
            </w:r>
          </w:p>
        </w:tc>
      </w:tr>
    </w:tbl>
    <w:p w14:paraId="2256570C" w14:textId="77777777" w:rsidR="00634535" w:rsidRDefault="00000000">
      <w:pPr>
        <w:pStyle w:val="Heading2"/>
      </w:pPr>
      <w:r>
        <w:rPr>
          <w:rFonts w:ascii="SimHei" w:eastAsia="SimHei" w:hAnsi="SimHei"/>
        </w:rPr>
        <w:t>4.2 cap=5 (σ*=6.4 %)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:rsidR="00634535" w14:paraId="0C98F1C1" w14:textId="77777777" w:rsidTr="0063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5561D4E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年份</w:t>
            </w:r>
          </w:p>
        </w:tc>
        <w:tc>
          <w:tcPr>
            <w:tcW w:w="855" w:type="dxa"/>
          </w:tcPr>
          <w:p w14:paraId="33AF3126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周数</w:t>
            </w:r>
          </w:p>
        </w:tc>
        <w:tc>
          <w:tcPr>
            <w:tcW w:w="855" w:type="dxa"/>
          </w:tcPr>
          <w:p w14:paraId="62FD434A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夏普</w:t>
            </w:r>
          </w:p>
        </w:tc>
        <w:tc>
          <w:tcPr>
            <w:tcW w:w="855" w:type="dxa"/>
          </w:tcPr>
          <w:p w14:paraId="290B4879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超额夏普</w:t>
            </w:r>
          </w:p>
        </w:tc>
        <w:tc>
          <w:tcPr>
            <w:tcW w:w="855" w:type="dxa"/>
          </w:tcPr>
          <w:p w14:paraId="30E81496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CAGR</w:t>
            </w:r>
          </w:p>
        </w:tc>
        <w:tc>
          <w:tcPr>
            <w:tcW w:w="855" w:type="dxa"/>
          </w:tcPr>
          <w:p w14:paraId="526A9509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超额 CAGR</w:t>
            </w:r>
          </w:p>
        </w:tc>
        <w:tc>
          <w:tcPr>
            <w:tcW w:w="855" w:type="dxa"/>
          </w:tcPr>
          <w:p w14:paraId="5DE44C3D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波动</w:t>
            </w:r>
          </w:p>
        </w:tc>
        <w:tc>
          <w:tcPr>
            <w:tcW w:w="855" w:type="dxa"/>
          </w:tcPr>
          <w:p w14:paraId="1A4DB56D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最大回撤</w:t>
            </w:r>
          </w:p>
        </w:tc>
        <w:tc>
          <w:tcPr>
            <w:tcW w:w="855" w:type="dxa"/>
          </w:tcPr>
          <w:p w14:paraId="3235D457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L̄</w:t>
            </w:r>
          </w:p>
        </w:tc>
        <w:tc>
          <w:tcPr>
            <w:tcW w:w="855" w:type="dxa"/>
          </w:tcPr>
          <w:p w14:paraId="561FDADB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成本 bp</w:t>
            </w:r>
          </w:p>
        </w:tc>
        <w:tc>
          <w:tcPr>
            <w:tcW w:w="855" w:type="dxa"/>
          </w:tcPr>
          <w:p w14:paraId="1F1BE7D1" w14:textId="77777777" w:rsidR="0063453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融资 bp</w:t>
            </w:r>
          </w:p>
        </w:tc>
      </w:tr>
      <w:tr w:rsidR="00634535" w14:paraId="31DFC349" w14:textId="77777777" w:rsidTr="0063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27F2EC3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lastRenderedPageBreak/>
              <w:t>2025</w:t>
            </w:r>
          </w:p>
        </w:tc>
        <w:tc>
          <w:tcPr>
            <w:tcW w:w="855" w:type="dxa"/>
          </w:tcPr>
          <w:p w14:paraId="4431CAC7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22</w:t>
            </w:r>
          </w:p>
        </w:tc>
        <w:tc>
          <w:tcPr>
            <w:tcW w:w="855" w:type="dxa"/>
          </w:tcPr>
          <w:p w14:paraId="453D0943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+2.28</w:t>
            </w:r>
          </w:p>
        </w:tc>
        <w:tc>
          <w:tcPr>
            <w:tcW w:w="855" w:type="dxa"/>
          </w:tcPr>
          <w:p w14:paraId="5199286E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+1.91</w:t>
            </w:r>
          </w:p>
        </w:tc>
        <w:tc>
          <w:tcPr>
            <w:tcW w:w="855" w:type="dxa"/>
          </w:tcPr>
          <w:p w14:paraId="7BB0DCAC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+9.21 %</w:t>
            </w:r>
          </w:p>
        </w:tc>
        <w:tc>
          <w:tcPr>
            <w:tcW w:w="855" w:type="dxa"/>
          </w:tcPr>
          <w:p w14:paraId="4B0EB516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+7.69 %</w:t>
            </w:r>
          </w:p>
        </w:tc>
        <w:tc>
          <w:tcPr>
            <w:tcW w:w="855" w:type="dxa"/>
          </w:tcPr>
          <w:p w14:paraId="0E45D78D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3.94 %</w:t>
            </w:r>
          </w:p>
        </w:tc>
        <w:tc>
          <w:tcPr>
            <w:tcW w:w="855" w:type="dxa"/>
          </w:tcPr>
          <w:p w14:paraId="286AE56F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−1.32 %</w:t>
            </w:r>
          </w:p>
        </w:tc>
        <w:tc>
          <w:tcPr>
            <w:tcW w:w="855" w:type="dxa"/>
          </w:tcPr>
          <w:p w14:paraId="27F0A96B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4.97</w:t>
            </w:r>
          </w:p>
        </w:tc>
        <w:tc>
          <w:tcPr>
            <w:tcW w:w="855" w:type="dxa"/>
          </w:tcPr>
          <w:p w14:paraId="56A03C65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88.5</w:t>
            </w:r>
          </w:p>
        </w:tc>
        <w:tc>
          <w:tcPr>
            <w:tcW w:w="855" w:type="dxa"/>
          </w:tcPr>
          <w:p w14:paraId="5C39D651" w14:textId="77777777" w:rsidR="0063453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576.2</w:t>
            </w:r>
          </w:p>
        </w:tc>
      </w:tr>
      <w:tr w:rsidR="00634535" w14:paraId="2FF54D60" w14:textId="77777777" w:rsidTr="0063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0538389" w14:textId="77777777" w:rsidR="00634535" w:rsidRDefault="00000000">
            <w:pPr>
              <w:jc w:val="center"/>
            </w:pPr>
            <w:r>
              <w:rPr>
                <w:rFonts w:eastAsia="SimSun"/>
                <w:sz w:val="20"/>
              </w:rPr>
              <w:t>2026</w:t>
            </w:r>
          </w:p>
        </w:tc>
        <w:tc>
          <w:tcPr>
            <w:tcW w:w="855" w:type="dxa"/>
          </w:tcPr>
          <w:p w14:paraId="4EEA0B91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31</w:t>
            </w:r>
          </w:p>
        </w:tc>
        <w:tc>
          <w:tcPr>
            <w:tcW w:w="855" w:type="dxa"/>
          </w:tcPr>
          <w:p w14:paraId="03CA89A1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+1.07</w:t>
            </w:r>
          </w:p>
        </w:tc>
        <w:tc>
          <w:tcPr>
            <w:tcW w:w="855" w:type="dxa"/>
          </w:tcPr>
          <w:p w14:paraId="0C0E91B3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+0.73</w:t>
            </w:r>
          </w:p>
        </w:tc>
        <w:tc>
          <w:tcPr>
            <w:tcW w:w="855" w:type="dxa"/>
          </w:tcPr>
          <w:p w14:paraId="25F839F3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+4.53 %</w:t>
            </w:r>
          </w:p>
        </w:tc>
        <w:tc>
          <w:tcPr>
            <w:tcW w:w="855" w:type="dxa"/>
          </w:tcPr>
          <w:p w14:paraId="3ED3E26A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+3.09 %</w:t>
            </w:r>
          </w:p>
        </w:tc>
        <w:tc>
          <w:tcPr>
            <w:tcW w:w="855" w:type="dxa"/>
          </w:tcPr>
          <w:p w14:paraId="61A1CCC1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4.18 %</w:t>
            </w:r>
          </w:p>
        </w:tc>
        <w:tc>
          <w:tcPr>
            <w:tcW w:w="855" w:type="dxa"/>
          </w:tcPr>
          <w:p w14:paraId="1738F68F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−1.45 %</w:t>
            </w:r>
          </w:p>
        </w:tc>
        <w:tc>
          <w:tcPr>
            <w:tcW w:w="855" w:type="dxa"/>
          </w:tcPr>
          <w:p w14:paraId="7F579BBF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5.00</w:t>
            </w:r>
          </w:p>
        </w:tc>
        <w:tc>
          <w:tcPr>
            <w:tcW w:w="855" w:type="dxa"/>
          </w:tcPr>
          <w:p w14:paraId="5EFED962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71.6</w:t>
            </w:r>
          </w:p>
        </w:tc>
        <w:tc>
          <w:tcPr>
            <w:tcW w:w="855" w:type="dxa"/>
          </w:tcPr>
          <w:p w14:paraId="71E66D20" w14:textId="77777777" w:rsidR="0063453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SimSun"/>
                <w:sz w:val="20"/>
              </w:rPr>
              <w:t>568.8</w:t>
            </w:r>
          </w:p>
        </w:tc>
      </w:tr>
    </w:tbl>
    <w:p w14:paraId="70A6332A" w14:textId="77777777" w:rsidR="00634535" w:rsidRDefault="00000000">
      <w:pPr>
        <w:spacing w:after="80" w:line="336" w:lineRule="auto"/>
        <w:ind w:firstLine="454"/>
        <w:rPr>
          <w:lang w:eastAsia="zh-CN"/>
        </w:rPr>
      </w:pPr>
      <w:r>
        <w:rPr>
          <w:rFonts w:eastAsia="SimSun"/>
          <w:lang w:eastAsia="zh-CN"/>
        </w:rPr>
        <w:t>两档 cell 在 2026 段的超额夏普都从 2025 段的约 +1.9 降到约 +0.7,两档同步下滑,说明是底层信号在冷却,而非杠杆机制。绝对值仍为正。</w:t>
      </w:r>
    </w:p>
    <w:p w14:paraId="3305C38D" w14:textId="77777777" w:rsidR="00634535" w:rsidRDefault="00000000">
      <w:pPr>
        <w:pStyle w:val="Heading1"/>
        <w:rPr>
          <w:lang w:eastAsia="zh-CN"/>
        </w:rPr>
      </w:pPr>
      <w:r>
        <w:rPr>
          <w:rFonts w:ascii="SimHei" w:eastAsia="SimHei" w:hAnsi="SimHei"/>
          <w:lang w:eastAsia="zh-CN"/>
        </w:rPr>
        <w:t>五、附注与风险披露</w:t>
      </w:r>
    </w:p>
    <w:p w14:paraId="7F2BC445" w14:textId="77777777" w:rsidR="00634535" w:rsidRDefault="00000000">
      <w:pPr>
        <w:spacing w:after="80" w:line="336" w:lineRule="auto"/>
        <w:rPr>
          <w:lang w:eastAsia="zh-CN"/>
        </w:rPr>
      </w:pPr>
      <w:r>
        <w:rPr>
          <w:rFonts w:eastAsia="SimSun"/>
          <w:b/>
          <w:lang w:eastAsia="zh-CN"/>
        </w:rPr>
        <w:t>DR007 代理说明。</w:t>
      </w:r>
    </w:p>
    <w:p w14:paraId="4D159948" w14:textId="77777777" w:rsidR="00634535" w:rsidRDefault="00000000">
      <w:pPr>
        <w:spacing w:after="80" w:line="336" w:lineRule="auto"/>
        <w:ind w:firstLine="454"/>
        <w:rPr>
          <w:lang w:eastAsia="zh-CN"/>
        </w:rPr>
      </w:pPr>
      <w:r>
        <w:rPr>
          <w:rFonts w:eastAsia="SimSun"/>
          <w:lang w:eastAsia="zh-CN"/>
        </w:rPr>
        <w:t xml:space="preserve">受当前 </w:t>
      </w:r>
      <w:proofErr w:type="spellStart"/>
      <w:r>
        <w:rPr>
          <w:rFonts w:eastAsia="SimSun"/>
          <w:lang w:eastAsia="zh-CN"/>
        </w:rPr>
        <w:t>rqdatac</w:t>
      </w:r>
      <w:proofErr w:type="spellEnd"/>
      <w:r>
        <w:rPr>
          <w:rFonts w:eastAsia="SimSun"/>
          <w:lang w:eastAsia="zh-CN"/>
        </w:rPr>
        <w:t xml:space="preserve"> 3.5.2 无 DR007 官方端点所限,本报告的融资端与现金端均以 SHIBOR-1W 作为 DR007 的代理。经验上 SHIBOR-1W 通常低于真实 DR007,因此本报告披露的融资 drag 很可能被低估,真实执行下的净夏普与 CAGR 大概率会比表中数字更差,而不是更好。真实 DR007 数据接入后需要以真实序列复算。</w:t>
      </w:r>
    </w:p>
    <w:p w14:paraId="50A62F8E" w14:textId="77777777" w:rsidR="00634535" w:rsidRDefault="00000000">
      <w:pPr>
        <w:spacing w:after="80" w:line="336" w:lineRule="auto"/>
        <w:rPr>
          <w:lang w:eastAsia="zh-CN"/>
        </w:rPr>
      </w:pPr>
      <w:r>
        <w:rPr>
          <w:rFonts w:eastAsia="SimSun"/>
          <w:b/>
          <w:lang w:eastAsia="zh-CN"/>
        </w:rPr>
        <w:t>组合久期风险。</w:t>
      </w:r>
    </w:p>
    <w:p w14:paraId="14911709" w14:textId="13C85EC1" w:rsidR="00634535" w:rsidRDefault="00000000" w:rsidP="00F26EF8">
      <w:pPr>
        <w:spacing w:after="80" w:line="336" w:lineRule="auto"/>
        <w:ind w:firstLine="454"/>
        <w:rPr>
          <w:rFonts w:hint="eastAsia"/>
          <w:lang w:eastAsia="zh-CN"/>
        </w:rPr>
      </w:pPr>
      <w:r>
        <w:rPr>
          <w:rFonts w:eastAsia="SimSun"/>
        </w:rPr>
        <w:t xml:space="preserve">cap=5 </w:t>
      </w:r>
      <w:proofErr w:type="spellStart"/>
      <w:r>
        <w:rPr>
          <w:rFonts w:eastAsia="SimSun"/>
        </w:rPr>
        <w:t>档在</w:t>
      </w:r>
      <w:proofErr w:type="spellEnd"/>
      <w:r>
        <w:rPr>
          <w:rFonts w:eastAsia="SimSun"/>
        </w:rPr>
        <w:t xml:space="preserve"> hold-out </w:t>
      </w:r>
      <w:proofErr w:type="spellStart"/>
      <w:r>
        <w:rPr>
          <w:rFonts w:eastAsia="SimSun"/>
        </w:rPr>
        <w:t>窗口内的组合久期均值</w:t>
      </w:r>
      <w:proofErr w:type="spellEnd"/>
      <w:r>
        <w:rPr>
          <w:rFonts w:eastAsia="SimSun"/>
        </w:rPr>
        <w:t xml:space="preserve"> 18.3 年、p95 18.9 年。在满 cap </w:t>
      </w:r>
      <w:proofErr w:type="gramStart"/>
      <w:r>
        <w:rPr>
          <w:rFonts w:eastAsia="SimSun"/>
        </w:rPr>
        <w:t>附近,国债利率单周</w:t>
      </w:r>
      <w:proofErr w:type="gramEnd"/>
      <w:r>
        <w:rPr>
          <w:rFonts w:eastAsia="SimSun"/>
        </w:rPr>
        <w:t xml:space="preserve"> 100 bp 的上行冲击对应约 19% NAV 回撤。本 hold-out </w:t>
      </w:r>
      <w:proofErr w:type="gramStart"/>
      <w:r>
        <w:rPr>
          <w:rFonts w:eastAsia="SimSun"/>
        </w:rPr>
        <w:t>期未出现此类情形,</w:t>
      </w:r>
      <w:proofErr w:type="spellStart"/>
      <w:r>
        <w:rPr>
          <w:rFonts w:eastAsia="SimSun"/>
        </w:rPr>
        <w:t>但风险敞口客观存在</w:t>
      </w:r>
      <w:proofErr w:type="gramEnd"/>
      <w:r>
        <w:rPr>
          <w:rFonts w:eastAsia="SimSun"/>
        </w:rPr>
        <w:t>。</w:t>
      </w:r>
      <w:r>
        <w:rPr>
          <w:rFonts w:eastAsia="SimSun"/>
          <w:lang w:eastAsia="zh-CN"/>
        </w:rPr>
        <w:t>cap</w:t>
      </w:r>
      <w:proofErr w:type="spellEnd"/>
      <w:r>
        <w:rPr>
          <w:rFonts w:eastAsia="SimSun"/>
          <w:lang w:eastAsia="zh-CN"/>
        </w:rPr>
        <w:t xml:space="preserve">=2 档久期均值 7.35 </w:t>
      </w:r>
      <w:proofErr w:type="gramStart"/>
      <w:r>
        <w:rPr>
          <w:rFonts w:eastAsia="SimSun"/>
          <w:lang w:eastAsia="zh-CN"/>
        </w:rPr>
        <w:t>年,同等冲击下</w:t>
      </w:r>
      <w:proofErr w:type="gramEnd"/>
      <w:r>
        <w:rPr>
          <w:rFonts w:eastAsia="SimSun"/>
          <w:lang w:eastAsia="zh-CN"/>
        </w:rPr>
        <w:t xml:space="preserve"> NAV 回撤约 7%。</w:t>
      </w:r>
    </w:p>
    <w:sectPr w:rsidR="00634535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487933">
    <w:abstractNumId w:val="8"/>
  </w:num>
  <w:num w:numId="2" w16cid:durableId="795375405">
    <w:abstractNumId w:val="6"/>
  </w:num>
  <w:num w:numId="3" w16cid:durableId="1630550410">
    <w:abstractNumId w:val="5"/>
  </w:num>
  <w:num w:numId="4" w16cid:durableId="1248271648">
    <w:abstractNumId w:val="4"/>
  </w:num>
  <w:num w:numId="5" w16cid:durableId="1376658370">
    <w:abstractNumId w:val="7"/>
  </w:num>
  <w:num w:numId="6" w16cid:durableId="808088213">
    <w:abstractNumId w:val="3"/>
  </w:num>
  <w:num w:numId="7" w16cid:durableId="130096836">
    <w:abstractNumId w:val="2"/>
  </w:num>
  <w:num w:numId="8" w16cid:durableId="205879044">
    <w:abstractNumId w:val="1"/>
  </w:num>
  <w:num w:numId="9" w16cid:durableId="3856405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5A"/>
    <w:rsid w:val="0015074B"/>
    <w:rsid w:val="0029639D"/>
    <w:rsid w:val="00326F90"/>
    <w:rsid w:val="00634535"/>
    <w:rsid w:val="00820EBE"/>
    <w:rsid w:val="008613E4"/>
    <w:rsid w:val="008703B3"/>
    <w:rsid w:val="00AA1D8D"/>
    <w:rsid w:val="00B47730"/>
    <w:rsid w:val="00C761F4"/>
    <w:rsid w:val="00CB0664"/>
    <w:rsid w:val="00F26EF8"/>
    <w:rsid w:val="00F61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C572E"/>
  <w14:defaultImageDpi w14:val="300"/>
  <w15:docId w15:val="{23441567-2A46-BB43-8B3E-2B8A3BE8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hAnsi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Zhou</cp:lastModifiedBy>
  <cp:revision>7</cp:revision>
  <dcterms:created xsi:type="dcterms:W3CDTF">2013-12-23T23:15:00Z</dcterms:created>
  <dcterms:modified xsi:type="dcterms:W3CDTF">2026-08-04T23:36:00Z</dcterms:modified>
  <cp:category/>
</cp:coreProperties>
</file>