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v6 组合杠杆上限提升实验报告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22"/>
        </w:rPr>
        <w:t>对比 cap 5 σ*=6.4% 与 cap 2 σ*=3.2%（对照组）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0"/>
        </w:rPr>
        <w:t>生成日期：2026-07-31　·　窗口：IS 2019-05-31 → 2023-12-31，OOS 2024-01-01 → 2025-07-31</w:t>
      </w:r>
    </w:p>
    <w:p>
      <w:r>
        <w:rPr>
          <w:rFonts w:ascii="Times New Roman" w:hAnsi="Times New Roman" w:eastAsia="黑体"/>
          <w:b/>
          <w:sz w:val="28"/>
        </w:rPr>
        <w:t>1. 背景与实验设置</w:t>
      </w:r>
    </w:p>
    <w:p>
      <w:r>
        <w:rPr>
          <w:rFonts w:ascii="Times New Roman" w:hAnsi="Times New Roman" w:eastAsia="宋体"/>
          <w:b w:val="0"/>
          <w:sz w:val="21"/>
        </w:rPr>
        <w:t>本报告基于已定型的 v6 两层组合（q=0.20 ε=0.30，层1 invvol × lw_erc，无 trend gate）加装整本波动率目标（vol targeting）杠杆层，对比在同一底层组合、同一 vol 目标机制下，将杠杆上限 cap 从 2.0 提升至 5.0、同时将波动率目标 σ* 从 3.2 %（年化）提升至 6.4 % 的效果。两条主推为 Base 风险预算（55/20/10/15）分别在 GC007 与 DR007 代理融资曲线下的表现；EW 风险预算（25/25/25/25）作为对照组以说明稳健性。</w:t>
      </w:r>
    </w:p>
    <w:p>
      <w:r>
        <w:rPr>
          <w:rFonts w:ascii="Times New Roman" w:hAnsi="Times New Roman" w:eastAsia="宋体"/>
          <w:b w:val="0"/>
          <w:sz w:val="21"/>
        </w:rPr>
        <w:t>非-α 板块采用代表性子集（rep-set）。 具体来说，将 6 个非-α 板块（债券利率、债券信用、跨境DM、跨境HK、金属、其他商品）通过年度聚类降维压缩至代表性 ETF 子集，将执行头寸数由 53 只降至 31 只（−41 %）。α 板块（broad_cn、sector_cn）保持 finalist 选券不变。此代表性子集在两个 cap 的实验中均一致使用，不影响 cap 提升的对比结论。</w:t>
      </w:r>
    </w:p>
    <w:p>
      <w:r>
        <w:rPr>
          <w:rFonts w:ascii="Times New Roman" w:hAnsi="Times New Roman" w:eastAsia="宋体"/>
          <w:b w:val="0"/>
          <w:sz w:val="21"/>
        </w:rPr>
        <w:t>其他所有设置——σ_est 估计器（weekly EWMA-52）、融资曲线（GC007 或 DR007 代理，即 SHIBOR-1W）、现金 carry（DR007 代理累计到账内残余现金）、交易成本（债券 ETF 2 bp/side，其他 10 bp/side）、调仓节奏（周度 W-FRI）——与原有实验一致，仅 σ* 与 cap 两个参数改变。</w:t>
      </w:r>
    </w:p>
    <w:p>
      <w:r>
        <w:rPr>
          <w:rFonts w:ascii="Times New Roman" w:hAnsi="Times New Roman" w:eastAsia="宋体"/>
          <w:b/>
          <w:sz w:val="21"/>
        </w:rPr>
        <w:t>本报告不改动 v6 生产组合，仅为杠杆上限提升的效果研究。</w:t>
      </w:r>
    </w:p>
    <w:p>
      <w:r>
        <w:rPr>
          <w:rFonts w:ascii="Times New Roman" w:hAnsi="Times New Roman" w:eastAsia="黑体"/>
          <w:b/>
          <w:sz w:val="28"/>
        </w:rPr>
        <w:t>2. 主要结果对比</w:t>
      </w:r>
    </w:p>
    <w:p>
      <w:r>
        <w:rPr>
          <w:rFonts w:ascii="Times New Roman" w:hAnsi="Times New Roman" w:eastAsia="宋体"/>
          <w:b w:val="0"/>
          <w:sz w:val="21"/>
        </w:rPr>
        <w:t>两条黄色高亮行为 Base 风险预算下 cap=5 σ*=6.4 % 的主线结果；紧邻的非高亮行为对应 cap=2 σ*=3.2 % 的对照。EW 两行为对照组。</w:t>
      </w:r>
    </w:p>
    <w:p>
      <w:r>
        <w:rPr>
          <w:rFonts w:ascii="Times New Roman" w:hAnsi="Times New Roman" w:eastAsia="黑体"/>
          <w:b/>
          <w:sz w:val="24"/>
        </w:rPr>
        <w:t>2.1 IS + OOS 池化窗口汇总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721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组合</w:t>
            </w:r>
          </w:p>
        </w:tc>
        <w:tc>
          <w:tcPr>
            <w:tcW w:type="dxa" w:w="794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平均 L̄</w:t>
            </w:r>
          </w:p>
        </w:tc>
        <w:tc>
          <w:tcPr>
            <w:tcW w:type="dxa" w:w="964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净 CAGR</w:t>
            </w:r>
          </w:p>
        </w:tc>
        <w:tc>
          <w:tcPr>
            <w:tcW w:type="dxa" w:w="964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最大回撤</w:t>
            </w:r>
          </w:p>
        </w:tc>
        <w:tc>
          <w:tcPr>
            <w:tcW w:type="dxa" w:w="90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年化波动</w:t>
            </w:r>
          </w:p>
        </w:tc>
        <w:tc>
          <w:tcPr>
            <w:tcW w:type="dxa" w:w="124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融资成本 (bp/年)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久期均值 (年)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久期 P95 (年)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cap=2 · σ*=3.2% · GC007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1.30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+5.28%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-2.55%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+3.35%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+64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5.5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</w:t>
            </w:r>
          </w:p>
        </w:tc>
      </w:tr>
      <w:tr>
        <w:tc>
          <w:tcPr>
            <w:tcW w:type="dxa" w:w="2721"/>
            <w:vAlign w:val="center"/>
            <w:shd w:val="clear" w:color="auto"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Base · cap=5 · σ*=6.4% · GC007</w:t>
            </w:r>
          </w:p>
        </w:tc>
        <w:tc>
          <w:tcPr>
            <w:tcW w:type="dxa" w:w="79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2.52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+7.81%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-5.59%</w:t>
            </w:r>
          </w:p>
        </w:tc>
        <w:tc>
          <w:tcPr>
            <w:tcW w:type="dxa" w:w="90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+6.45%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+335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10.6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15.4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cap=2 · σ*=3.2% · DR007代理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1.30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+5.33%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-2.55%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+3.35%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+58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5.5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</w:t>
            </w:r>
          </w:p>
        </w:tc>
      </w:tr>
      <w:tr>
        <w:tc>
          <w:tcPr>
            <w:tcW w:type="dxa" w:w="2721"/>
            <w:vAlign w:val="center"/>
            <w:shd w:val="clear" w:color="auto"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Base · cap=5 · σ*=6.4% · DR007代理</w:t>
            </w:r>
          </w:p>
        </w:tc>
        <w:tc>
          <w:tcPr>
            <w:tcW w:type="dxa" w:w="79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2.52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+8.07%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-5.44%</w:t>
            </w:r>
          </w:p>
        </w:tc>
        <w:tc>
          <w:tcPr>
            <w:tcW w:type="dxa" w:w="90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+6.45%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+297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10.6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15.4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cap=2 · σ*=3.2% · GC007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1.39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+5.25%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-2.40%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+3.12%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+84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7.4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cap=5 · σ*=6.4% · GC007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2.82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+8.02%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-4.41%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+6.22%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+400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12.0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17.7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cap=2 · σ*=3.2% · DR007代理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1.39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+5.32%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-2.40%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+3.12%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+75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7.4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cap=5 · σ*=6.4% · DR007代理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2.82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+8.33%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-4.41%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+6.22%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+354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12.0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17.7</w:t>
            </w:r>
          </w:p>
        </w:tc>
      </w:tr>
    </w:tbl>
    <w:p>
      <w:r>
        <w:rPr>
          <w:rFonts w:ascii="Times New Roman" w:hAnsi="Times New Roman" w:eastAsia="黑体"/>
          <w:b/>
          <w:sz w:val="24"/>
        </w:rPr>
        <w:t>2.2 IS 窗口（2019-05-31 → 2023-12-31）汇总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721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组合</w:t>
            </w:r>
          </w:p>
        </w:tc>
        <w:tc>
          <w:tcPr>
            <w:tcW w:type="dxa" w:w="794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平均 L̄</w:t>
            </w:r>
          </w:p>
        </w:tc>
        <w:tc>
          <w:tcPr>
            <w:tcW w:type="dxa" w:w="964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净 CAGR</w:t>
            </w:r>
          </w:p>
        </w:tc>
        <w:tc>
          <w:tcPr>
            <w:tcW w:type="dxa" w:w="964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最大回撤</w:t>
            </w:r>
          </w:p>
        </w:tc>
        <w:tc>
          <w:tcPr>
            <w:tcW w:type="dxa" w:w="90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年化波动</w:t>
            </w:r>
          </w:p>
        </w:tc>
        <w:tc>
          <w:tcPr>
            <w:tcW w:type="dxa" w:w="124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融资成本 (bp/年)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久期均值 (年)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久期 P95 (年)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cap=2 · σ*=3.2% · GC007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1.14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+5.29%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-2.55%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+3.68%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+35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5.2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6.6</w:t>
            </w:r>
          </w:p>
        </w:tc>
      </w:tr>
      <w:tr>
        <w:tc>
          <w:tcPr>
            <w:tcW w:type="dxa" w:w="2721"/>
            <w:vAlign w:val="center"/>
            <w:shd w:val="clear" w:color="auto"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Base · cap=5 · σ*=6.4% · GC007</w:t>
            </w:r>
          </w:p>
        </w:tc>
        <w:tc>
          <w:tcPr>
            <w:tcW w:type="dxa" w:w="79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2.14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+7.71%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-5.59%</w:t>
            </w:r>
          </w:p>
        </w:tc>
        <w:tc>
          <w:tcPr>
            <w:tcW w:type="dxa" w:w="90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+7.05%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+275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9.6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13.3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cap=2 · σ*=3.2% · DR007代理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1.14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+5.32%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-2.55%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+3.68%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+32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5.2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6.6</w:t>
            </w:r>
          </w:p>
        </w:tc>
      </w:tr>
      <w:tr>
        <w:tc>
          <w:tcPr>
            <w:tcW w:type="dxa" w:w="2721"/>
            <w:vAlign w:val="center"/>
            <w:shd w:val="clear" w:color="auto"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Base · cap=5 · σ*=6.4% · DR007代理</w:t>
            </w:r>
          </w:p>
        </w:tc>
        <w:tc>
          <w:tcPr>
            <w:tcW w:type="dxa" w:w="79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2.14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+7.96%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-5.44%</w:t>
            </w:r>
          </w:p>
        </w:tc>
        <w:tc>
          <w:tcPr>
            <w:tcW w:type="dxa" w:w="90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+7.05%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+242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9.6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13.3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cap=2 · σ*=3.2% · GC007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1.21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+5.32%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-2.40%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+3.46%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+52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5.6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7.4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cap=5 · σ*=6.4% · GC007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2.34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+8.07%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-4.41%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+6.86%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+324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10.8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14.8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cap=2 · σ*=3.2% · DR007代理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1.21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+5.37%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-2.40%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+3.46%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+45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5.6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7.4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cap=5 · σ*=6.4% · DR007代理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2.34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+8.37%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-4.41%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+6.85%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+285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10.8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14.8</w:t>
            </w:r>
          </w:p>
        </w:tc>
      </w:tr>
    </w:tbl>
    <w:p>
      <w:r>
        <w:rPr>
          <w:rFonts w:ascii="Times New Roman" w:hAnsi="Times New Roman" w:eastAsia="黑体"/>
          <w:b/>
          <w:sz w:val="24"/>
        </w:rPr>
        <w:t>2.3 OOS 窗口（2024-01-01 → 2025-07-31）汇总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721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组合</w:t>
            </w:r>
          </w:p>
        </w:tc>
        <w:tc>
          <w:tcPr>
            <w:tcW w:type="dxa" w:w="794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平均 L̄</w:t>
            </w:r>
          </w:p>
        </w:tc>
        <w:tc>
          <w:tcPr>
            <w:tcW w:type="dxa" w:w="964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净 CAGR</w:t>
            </w:r>
          </w:p>
        </w:tc>
        <w:tc>
          <w:tcPr>
            <w:tcW w:type="dxa" w:w="964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最大回撤</w:t>
            </w:r>
          </w:p>
        </w:tc>
        <w:tc>
          <w:tcPr>
            <w:tcW w:type="dxa" w:w="90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年化波动</w:t>
            </w:r>
          </w:p>
        </w:tc>
        <w:tc>
          <w:tcPr>
            <w:tcW w:type="dxa" w:w="124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融资成本 (bp/年)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久期均值 (年)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久期 P95 (年)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cap=2 · σ*=3.2% · GC007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1.77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+6.62%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-0.65%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+2.11%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+149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6.5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7.4</w:t>
            </w:r>
          </w:p>
        </w:tc>
      </w:tr>
      <w:tr>
        <w:tc>
          <w:tcPr>
            <w:tcW w:type="dxa" w:w="2721"/>
            <w:vAlign w:val="center"/>
            <w:shd w:val="clear" w:color="auto"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Base · cap=5 · σ*=6.4% · GC007</w:t>
            </w:r>
          </w:p>
        </w:tc>
        <w:tc>
          <w:tcPr>
            <w:tcW w:type="dxa" w:w="79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3.63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+11.34%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-1.32%</w:t>
            </w:r>
          </w:p>
        </w:tc>
        <w:tc>
          <w:tcPr>
            <w:tcW w:type="dxa" w:w="90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+4.24%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+509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13.4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16.9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cap=2 · σ*=3.2% · DR007代理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1.77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+6.77%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-0.63%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+2.11%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+134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6.5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7.4</w:t>
            </w:r>
          </w:p>
        </w:tc>
      </w:tr>
      <w:tr>
        <w:tc>
          <w:tcPr>
            <w:tcW w:type="dxa" w:w="2721"/>
            <w:vAlign w:val="center"/>
            <w:shd w:val="clear" w:color="auto"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Base · cap=5 · σ*=6.4% · DR007代理</w:t>
            </w:r>
          </w:p>
        </w:tc>
        <w:tc>
          <w:tcPr>
            <w:tcW w:type="dxa" w:w="79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3.63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+11.83%</w:t>
            </w:r>
          </w:p>
        </w:tc>
        <w:tc>
          <w:tcPr>
            <w:tcW w:type="dxa" w:w="964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-1.27%</w:t>
            </w:r>
          </w:p>
        </w:tc>
        <w:tc>
          <w:tcPr>
            <w:tcW w:type="dxa" w:w="90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+4.25%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+457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13.4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16.9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cap=2 · σ*=3.2% · GC007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1.92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+6.36%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-0.65%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+1.81%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+180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7.0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cap=5 · σ*=6.4% · GC007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4.20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+11.18%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-1.55%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+3.81%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+622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15.3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18.0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cap=2 · σ*=3.2% · DR007代理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1.92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+6.54%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-0.63%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+1.82%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+161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7.0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cap=5 · σ*=6.4% · DR007代理</w:t>
            </w:r>
          </w:p>
        </w:tc>
        <w:tc>
          <w:tcPr>
            <w:tcW w:type="dxa" w:w="79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4.20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+11.79%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-1.49%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+3.82%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+557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15.3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18.0</w:t>
            </w:r>
          </w:p>
        </w:tc>
      </w:tr>
    </w:tbl>
    <w:p>
      <w:r>
        <w:rPr>
          <w:rFonts w:ascii="Times New Roman" w:hAnsi="Times New Roman" w:eastAsia="黑体"/>
          <w:b/>
          <w:sz w:val="24"/>
        </w:rPr>
        <w:t>2.4 分年度净 CAGR / 最大回撤 / L̄ —— Base RB</w:t>
      </w:r>
    </w:p>
    <w:p>
      <w:r>
        <w:rPr>
          <w:rFonts w:ascii="Times New Roman" w:hAnsi="Times New Roman" w:eastAsia="宋体"/>
          <w:b w:val="0"/>
          <w:sz w:val="19"/>
        </w:rPr>
        <w:t>每年两行：第一行显示年内 CAGR（净）与年内平均杠杆倍数 L̄；第二行显示最大回撤 · 下跌时长（peak → trough 周数）→ 回补时长（trough → 首次回补前峰的周数，标 “未回补” 者截至 2025-07-31 尚未回补）。</w:t>
      </w:r>
    </w:p>
    <w:p>
      <w:r>
        <w:rPr>
          <w:rFonts w:ascii="Times New Roman" w:hAnsi="Times New Roman" w:eastAsia="宋体"/>
          <w:b w:val="0"/>
          <w:sz w:val="19"/>
        </w:rPr>
        <w:t>关于最大回撤的度量口径：本报告分年度 MaxDD 使用连续净值路径（cummax 覆盖整段 IS+OOS 序列，非按年 reset 至 1.0）。这样得到的年内 MaxDD 与 §2.1-2.3 汇总表使用的 MaxDD 完全同源，且不会出现年内回撤机械大于整段窗口回撤的伪失真（后者是常见的 per-year cumsum-from-1 度量偏差）。2019 与 2025 为部分年份（预热截止 2019-05-31，OOS 截止 2025-07-31），年化 CAGR 由 compound 方法机械放大，仅作方向参考。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年份 · 指标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Base cap=2 GC007（对照）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Base cap=5 GC007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Base cap=2 DR007（对照）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Base cap=5 DR007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2019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+15.28% · L̄ 1.52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+30.79% · L̄ 3.08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+15.31% · L̄ 1.52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+30.96% · L̄ 3.08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2019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-1.78% · 10w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-3.82% · 10w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-1.78% · 10w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-3.81% · 10w → 5w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2020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+7.83% · L̄ 1.05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+11.44% · L̄ 1.73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+7.84% · L̄ 1.05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+11.62% · L̄ 1.73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2020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-2.55% · 2w → 3w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-4.52% · 2w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-2.55% · 2w → 3w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-4.52% · 2w → 5w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2021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+6.05% · L̄ 1.00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+8.51% · L̄ 1.70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+6.05% · L̄ 1.00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+8.72% · L̄ 1.70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2021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-1.73% · 5w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-2.49% · 5w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-1.73% · 5w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-2.48% · 5w → 5w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2022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+0.55% · L̄ 1.05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-1.06% · L̄ 2.09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+0.56% · L̄ 1.05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-0.79% · L̄ 2.09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2022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-2.51% · 40w → 12w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-5.59% · 40w → 32w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-2.51% · 40w → 12w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-5.44% · 40w → 23w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2023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+3.45% · L̄ 1.23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+4.45% · L̄ 2.47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+3.58% · L̄ 1.23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+5.22% · L̄ 2.47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2023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-1.31% · 11w → 20w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-2.82% · 18w → 17w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-1.28% · 11w → 19w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-2.58% · 18w → 13w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2024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+8.79% · L̄ 1.66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+15.57% · L̄ 3.33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+8.94% · L̄ 1.66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+16.09% · L̄ 3.33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2024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-1.39% · 26w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-3.34% · 26w → 9w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-1.29% · 26w → 4w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-2.92% · 26w → 5w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2025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+3.23% · L̄ 1.96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+5.07% · L̄ 4.16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+3.39% · L̄ 1.96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+5.60% · L̄ 4.16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2025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-0.52% · 3w → 10w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-0.98% · 3w → 14w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-0.51% · 2w → 9w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-0.94% · 3w → 14w</w:t>
            </w:r>
          </w:p>
        </w:tc>
      </w:tr>
    </w:tbl>
    <w:p>
      <w:r>
        <w:rPr>
          <w:rFonts w:ascii="Times New Roman" w:hAnsi="Times New Roman" w:eastAsia="黑体"/>
          <w:b/>
          <w:sz w:val="24"/>
        </w:rPr>
        <w:t>2.5 分年度净 CAGR / 最大回撤 / L̄ —— EW RB（对照）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年份 · 指标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EW cap=2 GC007（对照）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EW cap=5 GC007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EW cap=2 DR007（对照）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EW cap=5 DR007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2019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+15.60% · L̄ 1.59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+30.98% · L̄ 3.22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+15.64% · L̄ 1.59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+31.15% · L̄ 3.22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2019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-1.75% · 10w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-3.75% · 10w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-1.75% · 10w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-3.74% · 10w → 5w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2020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+6.83% · L̄ 1.07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+10.66% · L̄ 1.89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+6.84% · L̄ 1.07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+10.89% · L̄ 1.89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2020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-2.40% · 2w → 3w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-4.41% · 2w → 4w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-2.40% · 2w → 3w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-4.41% · 2w → 4w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2021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+6.10% · L̄ 1.02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+9.38% · L̄ 1.92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+6.11% · L̄ 1.02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+9.64% · L̄ 1.92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2021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-1.35% · 5w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-2.26% · 5w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-1.35% · 5w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-2.26% · 5w → 5w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2022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+1.11% · L̄ 1.14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+0.13% · L̄ 2.28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+1.14% · L̄ 1.14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+0.45% · L̄ 2.28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2022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-2.00% · 25w → 27w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-4.25% · 25w → 42w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-1.99% · 25w → 27w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-4.15% · 25w → 38w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2023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+3.85% · L̄ 1.38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+5.27% · L̄ 2.75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+4.06% · L̄ 1.38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+6.19% · L̄ 2.75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2023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-1.31% · 7w → 18w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-2.60% · 14w → 13w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-1.27% · 7w → 18w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-2.39% · 7w → 19w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2024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+8.59% · L̄ 1.88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+15.68% · L̄ 3.84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+8.79% · L̄ 1.88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+16.32% · L̄ 3.84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2024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-0.94% · 20w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-2.34% · 20w → 7w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-0.80% · 20w → 5w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-1.89% · 20w → 6w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2025 · CAGR / L̄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+2.82% · L̄ 2.00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+4.41% · L̄ 4.83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+2.99% · L̄ 2.00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CAGR +5.07% · L̄ 4.83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2025 · MaxDD / 时长（下跌→回补）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-0.52% · 3w → 9w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-1.13% · 3w → 12w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-0.51% · 3w → 9w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-1.08% · 3w → 10w</w:t>
            </w:r>
          </w:p>
        </w:tc>
      </w:tr>
    </w:tbl>
    <w:p>
      <w:r>
        <w:rPr>
          <w:rFonts w:ascii="Times New Roman" w:hAnsi="Times New Roman" w:eastAsia="黑体"/>
          <w:b/>
          <w:sz w:val="28"/>
        </w:rPr>
        <w:t>3. 图表</w:t>
      </w:r>
    </w:p>
    <w:p>
      <w:r>
        <w:rPr>
          <w:rFonts w:ascii="Times New Roman" w:hAnsi="Times New Roman" w:eastAsia="黑体"/>
          <w:b/>
          <w:sz w:val="24"/>
        </w:rPr>
        <w:t>3.1 净值曲线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13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图1：常数名义 NAV = 1 + Σ 周度 net_ret。实线为 cap=5 σ*=6.4 %（主线）；虚点线为 cap=2 σ*=3.2 %（对照）。红色 = GC007 融资；蓝色 = DR007 代理融资。Base 全不透明，EW 淡化。终末 NAV：Base cap=5 GC007 ≈ 1.61、cap=2 GC007 ≈ 1.38；Base cap=5 DR007 ≈ 1.62、cap=2 DR007 ≈ 1.38。</w:t>
      </w:r>
    </w:p>
    <w:p>
      <w:r>
        <w:rPr>
          <w:rFonts w:ascii="Times New Roman" w:hAnsi="Times New Roman" w:eastAsia="黑体"/>
          <w:b/>
          <w:sz w:val="24"/>
        </w:rPr>
        <w:t>3.2 回撤曲线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36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图2：NAV 相对历史峰值的回撤（%）。cap=5 主线在 2020-03、2022-03、2023-08 等波动集中区间回撤显著加深，但整体仍在 −6 % 以内；cap=2 对照组同期回撤在 −3 % 以内。回撤放大幅度大致与平均杠杆倍数成比例——这是设计的直接结果。</w:t>
      </w:r>
    </w:p>
    <w:p>
      <w:r>
        <w:rPr>
          <w:rFonts w:ascii="Times New Roman" w:hAnsi="Times New Roman" w:eastAsia="黑体"/>
          <w:b/>
          <w:sz w:val="24"/>
        </w:rPr>
        <w:t>3.3 杠杆倍数 L_t 时间序列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53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L_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图3：L_t 走势。cap=5 主线在 IS 期（2019–2023）L̄ ≈ 2.1（Base）/ 2.3（EW），接近 boss 提出的 '正常情况约 2 倍' 目标。但在 2024–2025 的低波环境下，L_t 单调爬升至 4.5+（Base）和贴顶 5.0（EW），说明在低波市况中 σ*=6.4 % 需要更多的杠杆才能达到波动目标。cap=2 对照组则在 2024 年即已贴顶 2.0（虚点线上方水平段）。</w:t>
      </w:r>
    </w:p>
    <w:p>
      <w:r>
        <w:rPr>
          <w:rFonts w:ascii="Times New Roman" w:hAnsi="Times New Roman" w:eastAsia="黑体"/>
          <w:b/>
          <w:sz w:val="28"/>
        </w:rPr>
        <w:t>4. 久期风险披露</w:t>
      </w:r>
    </w:p>
    <w:p>
      <w:r>
        <w:rPr>
          <w:rFonts w:ascii="Times New Roman" w:hAnsi="Times New Roman" w:eastAsia="宋体"/>
          <w:b w:val="0"/>
          <w:sz w:val="21"/>
        </w:rPr>
        <w:t>整本久期使用杠杆后权重（L_t · W_name）乘以静态 KRD 加权计算。由于 v6 finalist 组合本身债券占比较高（Base 风险预算下利率+信用债 ≈ 30 % NAV，invvol 加权后由于债券波动低于股票，实际 NAV 占比更高），整本久期几乎线性随 L̄ 放大——这是本设计新增的主要结构性风险。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组合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窗口</w:t>
            </w:r>
          </w:p>
        </w:tc>
        <w:tc>
          <w:tcPr>
            <w:tcW w:type="dxa" w:w="124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久期均值 (年)</w:t>
            </w:r>
          </w:p>
        </w:tc>
        <w:tc>
          <w:tcPr>
            <w:tcW w:type="dxa" w:w="1247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久期 P95 (年)</w:t>
            </w:r>
          </w:p>
        </w:tc>
        <w:tc>
          <w:tcPr>
            <w:tcW w:type="dxa" w:w="2381"/>
            <w:shd w:val="clear" w:color="auto" w:fill="D9E1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100 bp 平行上行冲击（按 P95 久期估算）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cap=2 · σ*=3.2% · GC007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IS+OOS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5.51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7.32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−7.32 %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cap=5 · σ*=6.4% · GC007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IS+OOS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10.60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15.37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−15.37 %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cap=2 · σ*=3.2% · GC007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6.54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7.37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−7.37 %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cap=5 · σ*=6.4% · GC007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13.40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16.88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−16.88 %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cap=2 · σ*=3.2% · DR007代理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IS+OOS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5.51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7.32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−7.32 %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cap=5 · σ*=6.4% · DR007代理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IS+OOS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10.60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15.37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−15.37 %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cap=2 · σ*=3.2% · DR007代理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6.54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7.37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−7.37 %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 · cap=5 · σ*=6.4% · DR007代理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13.40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16.88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−16.88 %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cap=2 · σ*=3.2% · GC007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IS+OOS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5.94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7.36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−7.36 %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cap=5 · σ*=6.4% · GC007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IS+OOS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11.96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17.66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−17.66 %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cap=2 · σ*=3.2% · GC007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6.99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7.27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−7.27 %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cap=5 · σ*=6.4% · GC007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15.28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18.04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−18.04 %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cap=2 · σ*=3.2% · DR007代理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IS+OOS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5.94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7.36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−7.36 %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cap=5 · σ*=6.4% · DR007代理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IS+OOS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11.96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17.66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−17.66 %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cap=2 · σ*=3.2% · DR007代理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6.99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7.27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−7.27 %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EW · cap=5 · σ*=6.4% · DR007代理</w:t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OOS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15.28</w:t>
            </w:r>
          </w:p>
        </w:tc>
        <w:tc>
          <w:tcPr>
            <w:tcW w:type="dxa" w:w="1247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18.04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−18.04 %</w:t>
            </w:r>
          </w:p>
        </w:tc>
      </w:tr>
    </w:tbl>
    <w:p>
      <w:r>
        <w:rPr>
          <w:rFonts w:ascii="Times New Roman" w:hAnsi="Times New Roman" w:eastAsia="宋体"/>
          <w:b/>
          <w:sz w:val="21"/>
        </w:rPr>
        <w:t>读表要点：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cap=5 主线（Base）IS+OOS 池化久期均值约 10.6 年（Base）/ 12.0 年（EW），OOS 单窗口均值 13.4 年（Base）/ 15.3 年（EW），P95 更高——在最长久期的一周里，100 bp 平行利率上行会对净值造成 13–18 % 冲击。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cap=2 对照组（Base）IS+OOS 池化久期均值仅约 5.5 年，OOS 单窗口均值 6.5 年，P95 约 7.4 年——100 bp 冲击约 7 % 净值。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cap 提升 2.5 倍带来的久期放大约 2 倍（因为 L̄ 提升不到 2 倍，且债券占比在 EW 下更均衡），但 100 bp 上行冲击接近线性放大。若市场进入利率上行周期，此风险需在事前明确管控。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静态 KRD 表位于 v6/leverage/_common_leverage.py，近似精度约 ±0.5 年；使用 30 年国债 ETF（511090）= 20 年、10 年国债/国开（511130/511260/511270）= 8 年等显式覆盖，其余按板块默认。</w:t>
      </w:r>
    </w:p>
    <w:p>
      <w:r>
        <w:rPr>
          <w:rFonts w:ascii="Times New Roman" w:hAnsi="Times New Roman" w:eastAsia="黑体"/>
          <w:b/>
          <w:sz w:val="28"/>
        </w:rPr>
        <w:t>5. 主要观察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CAGR 提升显著：Base 风险预算下 IS+OOS 池化 CAGR 由 5.28 %（cap=2）提升至 7.81 %（cap=5 GC007）、由 5.33 % 提升至 8.07 %（cap=5 DR007 代理），相当于 +2.5 到 +2.8 pp/年 的绝对回报增益。OOS 单窗口 CAGR 由 6.6 % 跃升至 11.3 %（GC007）、11.8 %（DR007 代理）。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回撤等比放大：Base 池化最大回撤由 −2.55 % 加深至 −5.59 %（GC007）/ −5.44 %（DR007代理），EW 由 −2.40 % 加深至 −4.41 %。绝对幅度仍在 6 % 以内，无任何 cell 逼近 10 %。放大幅度大致等比于 L̄ 的放大倍数。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回撤时长指标：cap=5 主线最深的 2022 年下跌从 2022-01-14 开始、2022-10-21 见底（下跌 40 周），然后用 32 周回补到之前的峰值（Base GC007）——即完整水下时长约 72 周（18 个月）。cap=2 对照在同期下跌 40 周、回补 12 周，水下约 52 周。水下期间延长约 40 % 是本设计新增的隐性成本，需与 CAGR 提升一并权衡。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正常情况下杠杆约 2 倍达成：Base RB 下 IS 期平均 L̄ 为 2.14，EW 为 2.34。但 OOS 低波环境将 Base L̄ 推高至 3.63，EW 至 4.20（EW 在 18 % 的 OOS 周次贴顶 5.0）。说明若希望在低波市况下仍保持 L̄ ≈ 2，仅仅提高 σ* 并不够——需要更严格的 L 硬约束或对 σ* 引入低波调节机制。这是设计的一个可讨论方向。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融资成本明显放大：Base GC007 融资成本由 65 bp/年（cap=2）跃升至 335 bp/年（cap=5），DR007 代理由 58 bp/年 至 297 bp/年，大致等比于 (L̄ − 1) 的放大倍数。DR007 代理相对 GC007 稳定便宜约 30–40 bp/年，但如前所述该数值为下界估计，实际执行成本可能更接近 GC007。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波动目标机制稳健：L_t 的时序（图3）显示 vol targeter 在 2022 年股债双杀期自动降至 L ≈ 1–1.5，无过度放大风险；在 2024–2025 低波期自动提升至 cap 附近，充分利用杠杆额度。这一自适应机制在 cap 从 2 提升至 5 后依然如此工作。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选择建议：若可以接受 OOS 15 年左右的久期敞口与相应的利率上行风险，推荐 Base RB + cap=5 + σ*=6.4 % 主线；若倾向更保守的久期敞口，可考虑 cap 保持 2 但 σ* 略调高的中间方案，或在本框架外引入 L 的硬性上限约束（例如 L ≤ 3）。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