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A832B6" w14:textId="77777777" w:rsidR="008F5E7F" w:rsidRDefault="00000000">
      <w:pPr>
        <w:jc w:val="center"/>
        <w:rPr>
          <w:lang w:eastAsia="zh-CN"/>
        </w:rPr>
      </w:pPr>
      <w:r>
        <w:rPr>
          <w:rFonts w:ascii="SimHei" w:eastAsia="SimHei" w:hAnsi="SimHei"/>
          <w:b/>
          <w:sz w:val="38"/>
          <w:lang w:eastAsia="zh-CN"/>
        </w:rPr>
        <w:t xml:space="preserve">v6 双层结构（Layer-1 组内风险预算 × Layer-2 </w:t>
      </w:r>
      <w:r>
        <w:rPr>
          <w:rFonts w:ascii="SimHei" w:eastAsia="SimHei" w:hAnsi="SimHei"/>
          <w:b/>
          <w:sz w:val="38"/>
        </w:rPr>
        <w:t>α</w:t>
      </w:r>
      <w:r>
        <w:rPr>
          <w:rFonts w:ascii="SimHei" w:eastAsia="SimHei" w:hAnsi="SimHei"/>
          <w:b/>
          <w:sz w:val="38"/>
          <w:lang w:eastAsia="zh-CN"/>
        </w:rPr>
        <w:t>）研究报告</w:t>
      </w:r>
    </w:p>
    <w:p w14:paraId="20AE1EBA" w14:textId="77777777" w:rsidR="008F5E7F" w:rsidRDefault="00000000">
      <w:pPr>
        <w:jc w:val="center"/>
        <w:rPr>
          <w:lang w:eastAsia="zh-CN"/>
        </w:rPr>
      </w:pPr>
      <w:r>
        <w:rPr>
          <w:rFonts w:eastAsia="SimSun"/>
          <w:color w:val="555555"/>
          <w:sz w:val="24"/>
          <w:lang w:eastAsia="zh-CN"/>
        </w:rPr>
        <w:t xml:space="preserve">——池子扩容后再上一层组间风险预算与块内 </w:t>
      </w:r>
      <w:r>
        <w:rPr>
          <w:rFonts w:eastAsia="SimSun"/>
          <w:color w:val="555555"/>
          <w:sz w:val="24"/>
        </w:rPr>
        <w:t>α</w:t>
      </w:r>
      <w:r>
        <w:rPr>
          <w:rFonts w:eastAsia="SimSun"/>
          <w:color w:val="555555"/>
          <w:sz w:val="24"/>
          <w:lang w:eastAsia="zh-CN"/>
        </w:rPr>
        <w:t>，样本外表现的结构性升级</w:t>
      </w:r>
    </w:p>
    <w:p w14:paraId="52DD784C" w14:textId="77777777" w:rsidR="008F5E7F" w:rsidRDefault="00000000">
      <w:pPr>
        <w:jc w:val="center"/>
        <w:rPr>
          <w:lang w:eastAsia="zh-CN"/>
        </w:rPr>
      </w:pPr>
      <w:r>
        <w:rPr>
          <w:rFonts w:eastAsia="SimSun"/>
          <w:color w:val="888888"/>
          <w:sz w:val="20"/>
          <w:lang w:eastAsia="zh-CN"/>
        </w:rPr>
        <w:t>报告日期：2026-07-23    ·    共同起点 2019-05-31 → 样本内截止 2023-12-31 → 样本外 2024-01-01 至 2025-07-31</w:t>
      </w:r>
    </w:p>
    <w:p w14:paraId="155CD454" w14:textId="77777777" w:rsidR="008F5E7F" w:rsidRDefault="008F5E7F">
      <w:pPr>
        <w:rPr>
          <w:lang w:eastAsia="zh-CN"/>
        </w:rPr>
      </w:pPr>
    </w:p>
    <w:p w14:paraId="254A5064" w14:textId="77777777" w:rsidR="008F5E7F" w:rsidRDefault="00000000">
      <w:pPr>
        <w:pStyle w:val="Heading1"/>
      </w:pPr>
      <w:r>
        <w:rPr>
          <w:rFonts w:ascii="SimHei" w:eastAsia="SimHei" w:hAnsi="SimHei"/>
        </w:rPr>
        <w:t>摘要</w:t>
      </w:r>
    </w:p>
    <w:p w14:paraId="2EFAD6CF" w14:textId="77777777" w:rsidR="008F5E7F" w:rsidRDefault="00000000">
      <w:pPr>
        <w:spacing w:after="80" w:line="336" w:lineRule="auto"/>
        <w:ind w:firstLine="454"/>
      </w:pPr>
      <w:r>
        <w:rPr>
          <w:rFonts w:eastAsia="SimSun"/>
        </w:rPr>
        <w:t>本报告在此前 v6 Final Report 已经落地的“Top-q 纯多头 + 1/σ + replace-ε hysteresis”基础上，正式引入一层组间风险预算（Layer-1）与两块（broad_cn、sector_cn）的块内 α 选择（Layer-2）：Layer-1 以四个组（权益 55% / 利率债 20% / 信用债 10% / 商品 15%）为最小风险单元，用 Ledoit-Wolf-target-D 收缩协方差 + 对数障碍 ERC 求解组间权重；Layer-2 只在两块 A 股权益上激活 α-hysteresis 选股（复用 long_q20-replace 生产核），其他 6 块保持块内 inv-vol 全持。</w:t>
      </w:r>
    </w:p>
    <w:p w14:paraId="680F8BCD" w14:textId="77777777" w:rsidR="008F5E7F" w:rsidRDefault="00000000">
      <w:pPr>
        <w:spacing w:after="80" w:line="336" w:lineRule="auto"/>
        <w:ind w:firstLine="454"/>
      </w:pPr>
      <w:r>
        <w:rPr>
          <w:rFonts w:eastAsia="SimSun"/>
        </w:rPr>
        <w:t>在 IS = 2019-05-31 → 2023-12-31 上做 3×4 的 (q, ε) 扫格并按 plateau 规则选出 q=0.20、ε=0.30 为落地方案，同时保留 q=0.10、ε=0.30 作为 raw-IS 最高的对照。OOS 开放窗口（2024-01-01 → 2025-07-31）的结果结构性优于此前的 solo defensive finalist：</w:t>
      </w:r>
    </w:p>
    <w:p w14:paraId="3773380D" w14:textId="77777777" w:rsidR="008F5E7F" w:rsidRDefault="00000000">
      <w:pPr>
        <w:pStyle w:val="ListBullet"/>
        <w:spacing w:after="40" w:line="312" w:lineRule="auto"/>
      </w:pPr>
      <w:r>
        <w:rPr>
          <w:rFonts w:eastAsia="SimSun"/>
        </w:rPr>
        <w:t>双层 q=0.20 ε=0.30：OOS 净夏普 +3.621，CAGR +4.48%，最大回撤 -0.36%，Calmar（全窗）1.61；全窗净夏普 +1.768。</w:t>
      </w:r>
    </w:p>
    <w:p w14:paraId="5A3A18DF" w14:textId="77777777" w:rsidR="008F5E7F" w:rsidRDefault="00000000">
      <w:pPr>
        <w:pStyle w:val="ListBullet"/>
        <w:spacing w:after="40" w:line="312" w:lineRule="auto"/>
      </w:pPr>
      <w:r>
        <w:rPr>
          <w:rFonts w:eastAsia="SimSun"/>
        </w:rPr>
        <w:t>旧版 solo defensive（Phase 11.2 finalist）：OOS 净夏普 +2.231，CAGR +2.19%，最大回撤 -0.78%，Calmar（全窗）0.58；全窗净夏普 +0.959。</w:t>
      </w:r>
    </w:p>
    <w:p w14:paraId="01D90E2A" w14:textId="77777777" w:rsidR="008F5E7F" w:rsidRDefault="00000000">
      <w:pPr>
        <w:pStyle w:val="ListBullet"/>
        <w:spacing w:after="40" w:line="312" w:lineRule="auto"/>
      </w:pPr>
      <w:r>
        <w:rPr>
          <w:rFonts w:eastAsia="SimSun"/>
        </w:rPr>
        <w:t>两者对比：双层结构在 OOS 上 Sharpe 提升约 +1.39，CAGR 提升约 +2.29 pp，最大回撤放浅约 +0.43 pp，全窗 Calmar 由 0.58 抬升到 1.61。</w:t>
      </w:r>
    </w:p>
    <w:p w14:paraId="7F010AFD" w14:textId="77777777" w:rsidR="008F5E7F" w:rsidRDefault="00000000">
      <w:pPr>
        <w:spacing w:after="80" w:line="336" w:lineRule="auto"/>
        <w:ind w:firstLine="454"/>
      </w:pPr>
      <w:r>
        <w:rPr>
          <w:rFonts w:eastAsia="SimSun"/>
        </w:rPr>
        <w:t>α 层单独的边际贡献相对温和——OOS Sharpe Δ 仅约 +0.08（q20） / +0.12（q10）——更明确的结构性收益其实来自 Layer-1 的组间风险预算：把权益、利率债、信用债、商品四组按静态目标权重分开求解，之后再把 α 选出的 broad_cn / sector_cn 名字嵌入到各自组内。10 bp / 单边成本口径下所有夏普、CAGR、最大回撤、Calmar 均为净值。</w:t>
      </w:r>
    </w:p>
    <w:p w14:paraId="660F92C8" w14:textId="77777777" w:rsidR="008F5E7F" w:rsidRDefault="00000000">
      <w:pPr>
        <w:spacing w:after="80" w:line="336" w:lineRule="auto"/>
        <w:ind w:firstLine="454"/>
      </w:pPr>
      <w:r>
        <w:rPr>
          <w:rFonts w:eastAsia="SimSun"/>
        </w:rPr>
        <w:t>本次报告还补入第七、八节两个专题实验：**实验一**（§七）扰动 Layer-1 政策风险预算（55/20/10/15），做 EW 对照 + 4 轴 ±10pp + 80-cell 全 grid 敏感性——结论比预期保守：**只有权益轴的方向性信号能明确从 cross-cell 噪声里拆出来**（权益 ↑ → CAGR ↑ / DD 恶化 / Sharpe ↓），另外三轴（利率债 / 信用债 / 商品）的独立效应都在 cross-cell σ 内</w:t>
      </w:r>
      <w:r>
        <w:rPr>
          <w:rFonts w:eastAsia="SimSun"/>
        </w:rPr>
        <w:lastRenderedPageBreak/>
        <w:t>、且被 pro-rata 补偿方案与权益轴耦合。因此本节的建议只是「权益略偏高，可以考虑往 EW 方向微调」，而不是完整重构 policy shares。**实验二**（§八）把 6 个非-α 块的持仓由“块内 inv-vol 全持”压到年度刷新的“每聚类留一支代表”。名字数 K 均值 38.1 → 24.1（−37%），OOS 净夏普由 +3.62 上升到 +4.08（Δ +0.46）。值得强调的是——**这轮 OOS 夏普提升不是来自收益变高，而是来自策略波动被压下去**：OOS CAGR 反而从 +4.48% 下滑到 +4.11%（Δ -0.37 pp），OOS 年化波动却从 +1.25% 收窄到 +1.02%（Δ -0.23 pp，相对减幅 −18.6%），分子小减、分母大减，因此 Sharpe 抬升。这是与前面 Layer-1/Layer-2 讨论不同性质的另一层结构性升级，第八节做完整解释。</w:t>
      </w:r>
    </w:p>
    <w:p w14:paraId="7E7EF19F" w14:textId="77777777" w:rsidR="008F5E7F" w:rsidRDefault="00000000">
      <w:pPr>
        <w:pStyle w:val="Heading1"/>
      </w:pPr>
      <w:r>
        <w:rPr>
          <w:rFonts w:ascii="SimHei" w:eastAsia="SimHei" w:hAnsi="SimHei"/>
        </w:rPr>
        <w:t>一、双层设计概述</w:t>
      </w:r>
    </w:p>
    <w:p w14:paraId="67086156" w14:textId="19FDB24F" w:rsidR="008F5E7F" w:rsidRDefault="00000000">
      <w:pPr>
        <w:pStyle w:val="Heading2"/>
      </w:pPr>
      <w:r>
        <w:rPr>
          <w:rFonts w:ascii="SimHei" w:eastAsia="SimHei" w:hAnsi="SimHei"/>
        </w:rPr>
        <w:t>1.1 之前 Final Report 的落地方案回顾</w:t>
      </w:r>
    </w:p>
    <w:p w14:paraId="478B14C1" w14:textId="77777777" w:rsidR="008F5E7F" w:rsidRDefault="00000000">
      <w:pPr>
        <w:spacing w:after="80" w:line="336" w:lineRule="auto"/>
        <w:ind w:firstLine="454"/>
      </w:pPr>
      <w:r>
        <w:rPr>
          <w:rFonts w:eastAsia="SimSun"/>
        </w:rPr>
        <w:t>v6 Final Report 中最终落地的方案是纯多头 hysteresis：从 344 只入池 ETF 中按集成 α 排序，取 Top 20% 组成多头组合，仓位内以 1/σ_causal_26w 反比配权，并用 replace 规则 + ε=0.20 的迟滞机制压低选股换手成本。样本外净夏普约 +2.23，CAGR +2.19%，最大回撤 -0.78%。这套“单层”方案的短板是全窗 Calmar 只有 0.58，主要因为它把所有权益、债、商品一视同仁地放进同一个截面排序里，缺乏组间风险预算，深度回撤集中在 2020 疫情年与 2022 年信用债回调。</w:t>
      </w:r>
    </w:p>
    <w:p w14:paraId="3DA81B43" w14:textId="77777777" w:rsidR="008F5E7F" w:rsidRDefault="00000000">
      <w:pPr>
        <w:pStyle w:val="Heading2"/>
      </w:pPr>
      <w:r>
        <w:rPr>
          <w:rFonts w:ascii="SimHei" w:eastAsia="SimHei" w:hAnsi="SimHei"/>
        </w:rPr>
        <w:t>1.2 Layer-1：组间风险预算 + LW-ERC</w:t>
      </w:r>
    </w:p>
    <w:p w14:paraId="752AA96F" w14:textId="77777777" w:rsidR="008F5E7F" w:rsidRDefault="00000000">
      <w:pPr>
        <w:spacing w:after="80" w:line="336" w:lineRule="auto"/>
        <w:ind w:firstLine="454"/>
      </w:pPr>
      <w:r>
        <w:rPr>
          <w:rFonts w:eastAsia="SimSun"/>
        </w:rPr>
        <w:t>把入池 ETF 按资产大类划分为 4 组：</w:t>
      </w:r>
    </w:p>
    <w:p w14:paraId="00B30E33" w14:textId="77777777" w:rsidR="008F5E7F" w:rsidRDefault="00000000">
      <w:pPr>
        <w:pStyle w:val="ListBullet"/>
        <w:spacing w:after="40" w:line="312" w:lineRule="auto"/>
      </w:pPr>
      <w:r>
        <w:rPr>
          <w:rFonts w:eastAsia="SimSun"/>
        </w:rPr>
        <w:t>equity（权益）：包含 broad_cn、sector_cn、cross_border_dm、cross_border_hk 四个块；静态目标权重 55%。</w:t>
      </w:r>
    </w:p>
    <w:p w14:paraId="70346C34" w14:textId="77777777" w:rsidR="008F5E7F" w:rsidRDefault="00000000">
      <w:pPr>
        <w:pStyle w:val="ListBullet"/>
        <w:spacing w:after="40" w:line="312" w:lineRule="auto"/>
      </w:pPr>
      <w:r>
        <w:rPr>
          <w:rFonts w:eastAsia="SimSun"/>
        </w:rPr>
        <w:t>bond_rates（利率债）：静态目标权重 20%。</w:t>
      </w:r>
    </w:p>
    <w:p w14:paraId="2627F124" w14:textId="77777777" w:rsidR="008F5E7F" w:rsidRDefault="00000000">
      <w:pPr>
        <w:pStyle w:val="ListBullet"/>
        <w:spacing w:after="40" w:line="312" w:lineRule="auto"/>
      </w:pPr>
      <w:r>
        <w:rPr>
          <w:rFonts w:eastAsia="SimSun"/>
        </w:rPr>
        <w:t>bond_credit（信用债）：静态目标权重 10%。</w:t>
      </w:r>
    </w:p>
    <w:p w14:paraId="655AC6D2" w14:textId="77777777" w:rsidR="008F5E7F" w:rsidRDefault="00000000">
      <w:pPr>
        <w:pStyle w:val="ListBullet"/>
        <w:spacing w:after="40" w:line="312" w:lineRule="auto"/>
      </w:pPr>
      <w:r>
        <w:rPr>
          <w:rFonts w:eastAsia="SimSun"/>
        </w:rPr>
        <w:t>commodity（商品）：包含 metals、commodity_other 两个块；静态目标权重 15%。</w:t>
      </w:r>
    </w:p>
    <w:p w14:paraId="668A50D6" w14:textId="77777777" w:rsidR="008F5E7F" w:rsidRDefault="00000000">
      <w:pPr>
        <w:spacing w:after="80" w:line="336" w:lineRule="auto"/>
        <w:ind w:firstLine="454"/>
      </w:pPr>
      <w:r>
        <w:rPr>
          <w:rFonts w:eastAsia="SimSun"/>
        </w:rPr>
        <w:t>组间协方差用 Ledoit-Wolf-target-D 做收缩，然后以对数障碍法（log-barrier）求解等风险贡献（ERC）解，使得每组对总组合的风险贡献大致等于其静态目标权重；trend gate 已在 Layer-1 消融实验中确认为 Sharpe-neutral（±0.04），因此为了实现简单，落地版本去掉了 trend gate。</w:t>
      </w:r>
    </w:p>
    <w:p w14:paraId="634C06D2" w14:textId="77777777" w:rsidR="008F5E7F" w:rsidRDefault="00000000">
      <w:pPr>
        <w:pStyle w:val="Heading2"/>
      </w:pPr>
      <w:r>
        <w:rPr>
          <w:rFonts w:ascii="SimHei" w:eastAsia="SimHei" w:hAnsi="SimHei"/>
        </w:rPr>
        <w:t>1.3 Layer-2：α 只跑在 broad_cn 与 sector_cn 上</w:t>
      </w:r>
    </w:p>
    <w:p w14:paraId="76AE8166" w14:textId="77777777" w:rsidR="008F5E7F" w:rsidRDefault="00000000">
      <w:pPr>
        <w:spacing w:after="80" w:line="336" w:lineRule="auto"/>
        <w:ind w:firstLine="454"/>
      </w:pPr>
      <w:r>
        <w:rPr>
          <w:rFonts w:eastAsia="SimSun"/>
        </w:rPr>
        <w:t>Layer-2 只在两块 A 股权益上激活 α 选股，其他 6 块（bond_rates、bond_credit、cross_border_dm、cross_border_hk、metals、commodity_other）保持块内 inv-vol 全持。选股核复用生产 long_q20-replace kernel，参数由 (q, ε) 两个 knob 控制：</w:t>
      </w:r>
    </w:p>
    <w:p w14:paraId="1FA72177" w14:textId="77777777" w:rsidR="008F5E7F" w:rsidRDefault="00000000">
      <w:pPr>
        <w:pStyle w:val="ListBullet"/>
        <w:spacing w:after="40" w:line="312" w:lineRule="auto"/>
      </w:pPr>
      <w:r>
        <w:rPr>
          <w:rFonts w:eastAsia="SimSun"/>
        </w:rPr>
        <w:lastRenderedPageBreak/>
        <w:t>broad_cn 使用 K=5 的锁定集成（alpha015 / alpha_071 / alpha_102 / h_mom_decay_12_48 / alpha006↺，5 个成员），Phase 13.5 冻结。</w:t>
      </w:r>
    </w:p>
    <w:p w14:paraId="69BB8BFF" w14:textId="77777777" w:rsidR="008F5E7F" w:rsidRDefault="00000000">
      <w:pPr>
        <w:pStyle w:val="ListBullet"/>
        <w:spacing w:after="40" w:line="312" w:lineRule="auto"/>
      </w:pPr>
      <w:r>
        <w:rPr>
          <w:rFonts w:eastAsia="SimSun"/>
        </w:rPr>
        <w:t>sector_cn 使用 K=8 的锁定集成（var5_60 / ma_disp / alpha_142 / alpha_187 / yj15_bias_mom_60_20↺ / h_mom_decay_12_48 / kurt_40↺ / ret_skew_20，8 个成员），Phase 13.5 冻结。</w:t>
      </w:r>
    </w:p>
    <w:p w14:paraId="5AF6B790" w14:textId="77777777" w:rsidR="008F5E7F" w:rsidRDefault="00000000">
      <w:pPr>
        <w:spacing w:after="80" w:line="336" w:lineRule="auto"/>
        <w:ind w:firstLine="454"/>
      </w:pPr>
      <w:r>
        <w:rPr>
          <w:rFonts w:eastAsia="SimSun"/>
        </w:rPr>
        <w:t>关键设计要点：块内选出的名字权重先按 1/σ 配比归一到 Σ = 1，然后再乘以该块在其所属组内的静态份额 N_b / N_g，最后再乘以 Layer-1 求解得到的组权重。这样当 α 关闭（q=1，ε=0）时，整个双层书退化为纯 Layer-1 的组间风险预算 + 块内 inv-vol 全持——任何 Δ 都可以干净地归因到“α 层的贡献”上。</w:t>
      </w:r>
    </w:p>
    <w:p w14:paraId="45ECE7CE" w14:textId="77777777" w:rsidR="008F5E7F" w:rsidRDefault="00000000">
      <w:pPr>
        <w:pStyle w:val="Heading2"/>
      </w:pPr>
      <w:r>
        <w:rPr>
          <w:rFonts w:ascii="SimHei" w:eastAsia="SimHei" w:hAnsi="SimHei"/>
        </w:rPr>
        <w:t>1.4 与旧版 Final Report 的关键差异</w:t>
      </w:r>
    </w:p>
    <w:tbl>
      <w:tblPr>
        <w:tblStyle w:val="LightGrid-Accent1"/>
        <w:tblW w:w="0" w:type="auto"/>
        <w:jc w:val="center"/>
        <w:tblLook w:val="04A0" w:firstRow="1" w:lastRow="0" w:firstColumn="1" w:lastColumn="0" w:noHBand="0" w:noVBand="1"/>
      </w:tblPr>
      <w:tblGrid>
        <w:gridCol w:w="1814"/>
        <w:gridCol w:w="3118"/>
        <w:gridCol w:w="3685"/>
      </w:tblGrid>
      <w:tr w:rsidR="008F5E7F" w14:paraId="719E33E5" w14:textId="77777777" w:rsidTr="008F5E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C85912B" w14:textId="77777777" w:rsidR="008F5E7F" w:rsidRDefault="00000000">
            <w:pPr>
              <w:jc w:val="center"/>
            </w:pPr>
            <w:r>
              <w:rPr>
                <w:rFonts w:eastAsia="SimSun"/>
                <w:sz w:val="20"/>
              </w:rPr>
              <w:t>维度</w:t>
            </w:r>
          </w:p>
        </w:tc>
        <w:tc>
          <w:tcPr>
            <w:tcW w:w="3118" w:type="dxa"/>
          </w:tcPr>
          <w:p w14:paraId="1B1EF577"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Final Report（solo defensive）</w:t>
            </w:r>
          </w:p>
        </w:tc>
        <w:tc>
          <w:tcPr>
            <w:tcW w:w="3685" w:type="dxa"/>
          </w:tcPr>
          <w:p w14:paraId="0DBB9DB7"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本报告（双层结构）</w:t>
            </w:r>
          </w:p>
        </w:tc>
      </w:tr>
      <w:tr w:rsidR="008F5E7F" w14:paraId="5DC92597"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D39BDCB" w14:textId="77777777" w:rsidR="008F5E7F" w:rsidRDefault="00000000">
            <w:pPr>
              <w:jc w:val="center"/>
            </w:pPr>
            <w:r>
              <w:rPr>
                <w:rFonts w:eastAsia="SimSun"/>
                <w:sz w:val="20"/>
              </w:rPr>
              <w:t>选股范围</w:t>
            </w:r>
          </w:p>
        </w:tc>
        <w:tc>
          <w:tcPr>
            <w:tcW w:w="3118" w:type="dxa"/>
          </w:tcPr>
          <w:p w14:paraId="0B32FA4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全池 344 只 ETF 统一排序</w:t>
            </w:r>
          </w:p>
        </w:tc>
        <w:tc>
          <w:tcPr>
            <w:tcW w:w="3685" w:type="dxa"/>
          </w:tcPr>
          <w:p w14:paraId="3DB82DFD"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只在 broad_cn / sector_cn 两块内做 α，其他 6 块全持</w:t>
            </w:r>
          </w:p>
        </w:tc>
      </w:tr>
      <w:tr w:rsidR="008F5E7F" w14:paraId="22394CFE"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8B3F42A" w14:textId="77777777" w:rsidR="008F5E7F" w:rsidRDefault="00000000">
            <w:pPr>
              <w:jc w:val="center"/>
            </w:pPr>
            <w:r>
              <w:rPr>
                <w:rFonts w:eastAsia="SimSun"/>
                <w:sz w:val="20"/>
              </w:rPr>
              <w:t>权重结构</w:t>
            </w:r>
          </w:p>
        </w:tc>
        <w:tc>
          <w:tcPr>
            <w:tcW w:w="3118" w:type="dxa"/>
          </w:tcPr>
          <w:p w14:paraId="7AAAAEB8"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选中名字之间 1/σ</w:t>
            </w:r>
          </w:p>
        </w:tc>
        <w:tc>
          <w:tcPr>
            <w:tcW w:w="3685" w:type="dxa"/>
          </w:tcPr>
          <w:p w14:paraId="00FDC348"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块内 1/σ → 块乘 N_b/N_g → 组乘 LW-ERC</w:t>
            </w:r>
          </w:p>
        </w:tc>
      </w:tr>
      <w:tr w:rsidR="008F5E7F" w14:paraId="32924393"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B4B69B8" w14:textId="77777777" w:rsidR="008F5E7F" w:rsidRDefault="00000000">
            <w:pPr>
              <w:jc w:val="center"/>
            </w:pPr>
            <w:r>
              <w:rPr>
                <w:rFonts w:eastAsia="SimSun"/>
                <w:sz w:val="20"/>
              </w:rPr>
              <w:t>组间风险预算</w:t>
            </w:r>
          </w:p>
        </w:tc>
        <w:tc>
          <w:tcPr>
            <w:tcW w:w="3118" w:type="dxa"/>
          </w:tcPr>
          <w:p w14:paraId="672374B9"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无（隐式跟随选股结果）</w:t>
            </w:r>
          </w:p>
        </w:tc>
        <w:tc>
          <w:tcPr>
            <w:tcW w:w="3685" w:type="dxa"/>
          </w:tcPr>
          <w:p w14:paraId="5641BA3B"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静态 55/20/10/15 + LW 收缩 + ERC 求解</w:t>
            </w:r>
          </w:p>
        </w:tc>
      </w:tr>
      <w:tr w:rsidR="008F5E7F" w14:paraId="7911C252"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0372596" w14:textId="77777777" w:rsidR="008F5E7F" w:rsidRDefault="00000000">
            <w:pPr>
              <w:jc w:val="center"/>
            </w:pPr>
            <w:r>
              <w:rPr>
                <w:rFonts w:eastAsia="SimSun"/>
                <w:sz w:val="20"/>
              </w:rPr>
              <w:t>调仓核</w:t>
            </w:r>
          </w:p>
        </w:tc>
        <w:tc>
          <w:tcPr>
            <w:tcW w:w="3118" w:type="dxa"/>
          </w:tcPr>
          <w:p w14:paraId="4EA9B466"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long_q20-replace，ε=0.20</w:t>
            </w:r>
          </w:p>
        </w:tc>
        <w:tc>
          <w:tcPr>
            <w:tcW w:w="3685" w:type="dxa"/>
          </w:tcPr>
          <w:p w14:paraId="5F7A7CC7"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long_q20-replace，(q, ε) 扫格后 plateau 选 (0.20, 0.30)</w:t>
            </w:r>
          </w:p>
        </w:tc>
      </w:tr>
      <w:tr w:rsidR="008F5E7F" w14:paraId="6393BAA3"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958B070" w14:textId="77777777" w:rsidR="008F5E7F" w:rsidRDefault="00000000">
            <w:pPr>
              <w:jc w:val="center"/>
            </w:pPr>
            <w:r>
              <w:rPr>
                <w:rFonts w:eastAsia="SimSun"/>
                <w:sz w:val="20"/>
              </w:rPr>
              <w:t>集成成员</w:t>
            </w:r>
          </w:p>
        </w:tc>
        <w:tc>
          <w:tcPr>
            <w:tcW w:w="3118" w:type="dxa"/>
          </w:tcPr>
          <w:p w14:paraId="1A757AB4"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PV 去相关 shortlist 全量集成</w:t>
            </w:r>
          </w:p>
        </w:tc>
        <w:tc>
          <w:tcPr>
            <w:tcW w:w="3685" w:type="dxa"/>
          </w:tcPr>
          <w:p w14:paraId="27F0FFD8"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两块各自 K=5 / K=8 锁定集成，Phase 13.5 冻结</w:t>
            </w:r>
          </w:p>
        </w:tc>
      </w:tr>
    </w:tbl>
    <w:p w14:paraId="356BEFC2" w14:textId="77777777" w:rsidR="008F5E7F" w:rsidRDefault="00000000">
      <w:pPr>
        <w:pStyle w:val="Heading1"/>
      </w:pPr>
      <w:r>
        <w:rPr>
          <w:rFonts w:ascii="SimHei" w:eastAsia="SimHei" w:hAnsi="SimHei"/>
        </w:rPr>
        <w:t>二、样本内扫格与 plateau 选择</w:t>
      </w:r>
    </w:p>
    <w:p w14:paraId="08D9B893" w14:textId="77777777" w:rsidR="008F5E7F" w:rsidRDefault="00000000">
      <w:pPr>
        <w:pStyle w:val="Heading2"/>
      </w:pPr>
      <w:r>
        <w:rPr>
          <w:rFonts w:ascii="SimHei" w:eastAsia="SimHei" w:hAnsi="SimHei"/>
        </w:rPr>
        <w:t>2.1 12 个 (q, ε) 格点</w:t>
      </w:r>
    </w:p>
    <w:p w14:paraId="238AA3BD" w14:textId="77777777" w:rsidR="008F5E7F" w:rsidRDefault="00000000">
      <w:pPr>
        <w:spacing w:after="80" w:line="336" w:lineRule="auto"/>
        <w:ind w:firstLine="454"/>
      </w:pPr>
      <w:r>
        <w:rPr>
          <w:rFonts w:eastAsia="SimSun"/>
        </w:rPr>
        <w:t>在 IS 窗口内做 3×4 扫格：q ∈ {0.10, 0.20, 0.30}，ε ∈ {0.00, 0.10, 0.20, 0.30}，对 broad_cn 和 sector_cn 施加同一组 (q, ε)。参考 baseline 为“α off”（q=1，ε=0）的双层结构本身——按定义等价于 Layer-1 canonical。全部结果都在 10 bp / 单边成本口径下报告。下图展示扫格结果的 IS 净夏普矩阵。</w:t>
      </w:r>
    </w:p>
    <w:p w14:paraId="18B85651" w14:textId="77777777" w:rsidR="008F5E7F" w:rsidRDefault="00000000">
      <w:pPr>
        <w:jc w:val="center"/>
      </w:pPr>
      <w:r>
        <w:rPr>
          <w:noProof/>
        </w:rPr>
        <w:lastRenderedPageBreak/>
        <w:drawing>
          <wp:inline distT="0" distB="0" distL="0" distR="0" wp14:anchorId="2243F7DD" wp14:editId="24889B26">
            <wp:extent cx="5580000" cy="38844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sweep_heatmap.png"/>
                    <pic:cNvPicPr/>
                  </pic:nvPicPr>
                  <pic:blipFill>
                    <a:blip r:embed="rId6"/>
                    <a:stretch>
                      <a:fillRect/>
                    </a:stretch>
                  </pic:blipFill>
                  <pic:spPr>
                    <a:xfrm>
                      <a:off x="0" y="0"/>
                      <a:ext cx="5580000" cy="3884459"/>
                    </a:xfrm>
                    <a:prstGeom prst="rect">
                      <a:avLst/>
                    </a:prstGeom>
                  </pic:spPr>
                </pic:pic>
              </a:graphicData>
            </a:graphic>
          </wp:inline>
        </w:drawing>
      </w:r>
    </w:p>
    <w:p w14:paraId="72D40DEE" w14:textId="77777777" w:rsidR="008F5E7F" w:rsidRDefault="00000000">
      <w:pPr>
        <w:jc w:val="center"/>
      </w:pPr>
      <w:r>
        <w:rPr>
          <w:rFonts w:eastAsia="SimSun"/>
          <w:color w:val="666666"/>
          <w:sz w:val="18"/>
        </w:rPr>
        <w:t>图 1  Layer-2 α 参数扫格：样本内净夏普（12 cells）</w:t>
      </w:r>
    </w:p>
    <w:p w14:paraId="4C275F9E" w14:textId="77777777" w:rsidR="008F5E7F" w:rsidRDefault="00000000">
      <w:pPr>
        <w:pStyle w:val="Heading2"/>
      </w:pPr>
      <w:r>
        <w:rPr>
          <w:rFonts w:ascii="SimHei" w:eastAsia="SimHei" w:hAnsi="SimHei"/>
        </w:rPr>
        <w:t>2.2 完整扫格表</w:t>
      </w:r>
    </w:p>
    <w:tbl>
      <w:tblPr>
        <w:tblStyle w:val="LightGrid-Accent1"/>
        <w:tblW w:w="0" w:type="auto"/>
        <w:jc w:val="center"/>
        <w:tblLook w:val="04A0" w:firstRow="1" w:lastRow="0" w:firstColumn="1" w:lastColumn="0" w:noHBand="0" w:noVBand="1"/>
      </w:tblPr>
      <w:tblGrid>
        <w:gridCol w:w="1176"/>
        <w:gridCol w:w="1176"/>
        <w:gridCol w:w="1176"/>
        <w:gridCol w:w="1176"/>
        <w:gridCol w:w="1176"/>
        <w:gridCol w:w="1176"/>
        <w:gridCol w:w="1176"/>
        <w:gridCol w:w="1176"/>
      </w:tblGrid>
      <w:tr w:rsidR="008F5E7F" w14:paraId="1BE76CE8" w14:textId="77777777" w:rsidTr="008F5E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1D8C097E" w14:textId="77777777" w:rsidR="008F5E7F" w:rsidRDefault="00000000">
            <w:pPr>
              <w:jc w:val="center"/>
            </w:pPr>
            <w:r>
              <w:rPr>
                <w:rFonts w:eastAsia="SimSun"/>
                <w:sz w:val="20"/>
              </w:rPr>
              <w:t>q</w:t>
            </w:r>
          </w:p>
        </w:tc>
        <w:tc>
          <w:tcPr>
            <w:tcW w:w="1176" w:type="dxa"/>
          </w:tcPr>
          <w:p w14:paraId="2054D921"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ε</w:t>
            </w:r>
          </w:p>
        </w:tc>
        <w:tc>
          <w:tcPr>
            <w:tcW w:w="1176" w:type="dxa"/>
          </w:tcPr>
          <w:p w14:paraId="721A7CDC"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IS Sharpe</w:t>
            </w:r>
          </w:p>
        </w:tc>
        <w:tc>
          <w:tcPr>
            <w:tcW w:w="1176" w:type="dxa"/>
          </w:tcPr>
          <w:p w14:paraId="7D34F4C3"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Δ Sh vs baseline</w:t>
            </w:r>
          </w:p>
        </w:tc>
        <w:tc>
          <w:tcPr>
            <w:tcW w:w="1176" w:type="dxa"/>
          </w:tcPr>
          <w:p w14:paraId="739ECBCE"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IS CAGR</w:t>
            </w:r>
          </w:p>
        </w:tc>
        <w:tc>
          <w:tcPr>
            <w:tcW w:w="1176" w:type="dxa"/>
          </w:tcPr>
          <w:p w14:paraId="2DFD9E7D"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最大回撤</w:t>
            </w:r>
          </w:p>
        </w:tc>
        <w:tc>
          <w:tcPr>
            <w:tcW w:w="1176" w:type="dxa"/>
          </w:tcPr>
          <w:p w14:paraId="75B5F69A"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单边换手</w:t>
            </w:r>
          </w:p>
        </w:tc>
        <w:tc>
          <w:tcPr>
            <w:tcW w:w="1176" w:type="dxa"/>
          </w:tcPr>
          <w:p w14:paraId="60C25FF0"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cost drag (bps/yr)</w:t>
            </w:r>
          </w:p>
        </w:tc>
      </w:tr>
      <w:tr w:rsidR="008F5E7F" w14:paraId="6031894C"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1849B748" w14:textId="77777777" w:rsidR="008F5E7F" w:rsidRDefault="00000000">
            <w:pPr>
              <w:jc w:val="center"/>
            </w:pPr>
            <w:r>
              <w:rPr>
                <w:rFonts w:eastAsia="SimSun"/>
                <w:sz w:val="20"/>
              </w:rPr>
              <w:t>0.10</w:t>
            </w:r>
          </w:p>
        </w:tc>
        <w:tc>
          <w:tcPr>
            <w:tcW w:w="1176" w:type="dxa"/>
          </w:tcPr>
          <w:p w14:paraId="5F090512"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0.00</w:t>
            </w:r>
          </w:p>
        </w:tc>
        <w:tc>
          <w:tcPr>
            <w:tcW w:w="1176" w:type="dxa"/>
          </w:tcPr>
          <w:p w14:paraId="78145B0D"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+1.389</w:t>
            </w:r>
          </w:p>
        </w:tc>
        <w:tc>
          <w:tcPr>
            <w:tcW w:w="1176" w:type="dxa"/>
          </w:tcPr>
          <w:p w14:paraId="3FF607EB"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+0.025</w:t>
            </w:r>
          </w:p>
        </w:tc>
        <w:tc>
          <w:tcPr>
            <w:tcW w:w="1176" w:type="dxa"/>
          </w:tcPr>
          <w:p w14:paraId="5C9AA87F"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+3.35%</w:t>
            </w:r>
          </w:p>
        </w:tc>
        <w:tc>
          <w:tcPr>
            <w:tcW w:w="1176" w:type="dxa"/>
          </w:tcPr>
          <w:p w14:paraId="343F0015"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-2.45%</w:t>
            </w:r>
          </w:p>
        </w:tc>
        <w:tc>
          <w:tcPr>
            <w:tcW w:w="1176" w:type="dxa"/>
          </w:tcPr>
          <w:p w14:paraId="6FF2E75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0.0997</w:t>
            </w:r>
          </w:p>
        </w:tc>
        <w:tc>
          <w:tcPr>
            <w:tcW w:w="1176" w:type="dxa"/>
          </w:tcPr>
          <w:p w14:paraId="54A1D9E8"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+55.3</w:t>
            </w:r>
          </w:p>
        </w:tc>
      </w:tr>
      <w:tr w:rsidR="008F5E7F" w14:paraId="2FF836E8"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676D17A7" w14:textId="77777777" w:rsidR="008F5E7F" w:rsidRDefault="00000000">
            <w:pPr>
              <w:jc w:val="center"/>
            </w:pPr>
            <w:r>
              <w:rPr>
                <w:rFonts w:eastAsia="SimSun"/>
                <w:sz w:val="20"/>
              </w:rPr>
              <w:t>0.10</w:t>
            </w:r>
          </w:p>
        </w:tc>
        <w:tc>
          <w:tcPr>
            <w:tcW w:w="1176" w:type="dxa"/>
          </w:tcPr>
          <w:p w14:paraId="5F3142D9"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0.10</w:t>
            </w:r>
          </w:p>
        </w:tc>
        <w:tc>
          <w:tcPr>
            <w:tcW w:w="1176" w:type="dxa"/>
          </w:tcPr>
          <w:p w14:paraId="7FDE6F39"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+1.461</w:t>
            </w:r>
          </w:p>
        </w:tc>
        <w:tc>
          <w:tcPr>
            <w:tcW w:w="1176" w:type="dxa"/>
          </w:tcPr>
          <w:p w14:paraId="135DC93B"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+0.097</w:t>
            </w:r>
          </w:p>
        </w:tc>
        <w:tc>
          <w:tcPr>
            <w:tcW w:w="1176" w:type="dxa"/>
          </w:tcPr>
          <w:p w14:paraId="0FFDA917"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+3.62%</w:t>
            </w:r>
          </w:p>
        </w:tc>
        <w:tc>
          <w:tcPr>
            <w:tcW w:w="1176" w:type="dxa"/>
          </w:tcPr>
          <w:p w14:paraId="114C83DE"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-2.57%</w:t>
            </w:r>
          </w:p>
        </w:tc>
        <w:tc>
          <w:tcPr>
            <w:tcW w:w="1176" w:type="dxa"/>
          </w:tcPr>
          <w:p w14:paraId="3F6B8B14"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0.0896</w:t>
            </w:r>
          </w:p>
        </w:tc>
        <w:tc>
          <w:tcPr>
            <w:tcW w:w="1176" w:type="dxa"/>
          </w:tcPr>
          <w:p w14:paraId="1BC35748"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+44.8</w:t>
            </w:r>
          </w:p>
        </w:tc>
      </w:tr>
      <w:tr w:rsidR="008F5E7F" w14:paraId="1A373BD9"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605F1C46" w14:textId="77777777" w:rsidR="008F5E7F" w:rsidRDefault="00000000">
            <w:pPr>
              <w:jc w:val="center"/>
            </w:pPr>
            <w:r>
              <w:rPr>
                <w:rFonts w:eastAsia="SimSun"/>
                <w:sz w:val="20"/>
              </w:rPr>
              <w:t>0.10</w:t>
            </w:r>
          </w:p>
        </w:tc>
        <w:tc>
          <w:tcPr>
            <w:tcW w:w="1176" w:type="dxa"/>
          </w:tcPr>
          <w:p w14:paraId="3BCC99E6"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0.20</w:t>
            </w:r>
          </w:p>
        </w:tc>
        <w:tc>
          <w:tcPr>
            <w:tcW w:w="1176" w:type="dxa"/>
          </w:tcPr>
          <w:p w14:paraId="3338D8AF"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+1.461</w:t>
            </w:r>
          </w:p>
        </w:tc>
        <w:tc>
          <w:tcPr>
            <w:tcW w:w="1176" w:type="dxa"/>
          </w:tcPr>
          <w:p w14:paraId="26DD7A08"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+0.096</w:t>
            </w:r>
          </w:p>
        </w:tc>
        <w:tc>
          <w:tcPr>
            <w:tcW w:w="1176" w:type="dxa"/>
          </w:tcPr>
          <w:p w14:paraId="199F5130"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+3.62%</w:t>
            </w:r>
          </w:p>
        </w:tc>
        <w:tc>
          <w:tcPr>
            <w:tcW w:w="1176" w:type="dxa"/>
          </w:tcPr>
          <w:p w14:paraId="0FFA4E78"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-2.57%</w:t>
            </w:r>
          </w:p>
        </w:tc>
        <w:tc>
          <w:tcPr>
            <w:tcW w:w="1176" w:type="dxa"/>
          </w:tcPr>
          <w:p w14:paraId="10A115A2"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0.0890</w:t>
            </w:r>
          </w:p>
        </w:tc>
        <w:tc>
          <w:tcPr>
            <w:tcW w:w="1176" w:type="dxa"/>
          </w:tcPr>
          <w:p w14:paraId="0EC798A2"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+44.2</w:t>
            </w:r>
          </w:p>
        </w:tc>
      </w:tr>
      <w:tr w:rsidR="008F5E7F" w14:paraId="279A3812"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53FFA1C3" w14:textId="77777777" w:rsidR="008F5E7F" w:rsidRDefault="00000000">
            <w:pPr>
              <w:jc w:val="center"/>
            </w:pPr>
            <w:r>
              <w:rPr>
                <w:rFonts w:eastAsia="SimSun"/>
                <w:sz w:val="20"/>
              </w:rPr>
              <w:t>0.10</w:t>
            </w:r>
          </w:p>
        </w:tc>
        <w:tc>
          <w:tcPr>
            <w:tcW w:w="1176" w:type="dxa"/>
          </w:tcPr>
          <w:p w14:paraId="10ED9CF2"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0.30</w:t>
            </w:r>
          </w:p>
        </w:tc>
        <w:tc>
          <w:tcPr>
            <w:tcW w:w="1176" w:type="dxa"/>
          </w:tcPr>
          <w:p w14:paraId="06AAA0FF"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+1.468</w:t>
            </w:r>
          </w:p>
        </w:tc>
        <w:tc>
          <w:tcPr>
            <w:tcW w:w="1176" w:type="dxa"/>
          </w:tcPr>
          <w:p w14:paraId="5AEF0923"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+0.103</w:t>
            </w:r>
          </w:p>
        </w:tc>
        <w:tc>
          <w:tcPr>
            <w:tcW w:w="1176" w:type="dxa"/>
          </w:tcPr>
          <w:p w14:paraId="1F3E6DE4"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+3.63%</w:t>
            </w:r>
          </w:p>
        </w:tc>
        <w:tc>
          <w:tcPr>
            <w:tcW w:w="1176" w:type="dxa"/>
          </w:tcPr>
          <w:p w14:paraId="390A8611"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-2.57%</w:t>
            </w:r>
          </w:p>
        </w:tc>
        <w:tc>
          <w:tcPr>
            <w:tcW w:w="1176" w:type="dxa"/>
          </w:tcPr>
          <w:p w14:paraId="63C60387"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0.0873</w:t>
            </w:r>
          </w:p>
        </w:tc>
        <w:tc>
          <w:tcPr>
            <w:tcW w:w="1176" w:type="dxa"/>
          </w:tcPr>
          <w:p w14:paraId="3E824B94"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+42.4</w:t>
            </w:r>
          </w:p>
        </w:tc>
      </w:tr>
      <w:tr w:rsidR="008F5E7F" w14:paraId="71B6E234"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6265D311" w14:textId="77777777" w:rsidR="008F5E7F" w:rsidRDefault="00000000">
            <w:pPr>
              <w:jc w:val="center"/>
            </w:pPr>
            <w:r>
              <w:rPr>
                <w:rFonts w:eastAsia="SimSun"/>
                <w:sz w:val="20"/>
              </w:rPr>
              <w:t>0.20</w:t>
            </w:r>
          </w:p>
        </w:tc>
        <w:tc>
          <w:tcPr>
            <w:tcW w:w="1176" w:type="dxa"/>
          </w:tcPr>
          <w:p w14:paraId="775F2CC8"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0.00</w:t>
            </w:r>
          </w:p>
        </w:tc>
        <w:tc>
          <w:tcPr>
            <w:tcW w:w="1176" w:type="dxa"/>
          </w:tcPr>
          <w:p w14:paraId="1945ED4B"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+1.406</w:t>
            </w:r>
          </w:p>
        </w:tc>
        <w:tc>
          <w:tcPr>
            <w:tcW w:w="1176" w:type="dxa"/>
          </w:tcPr>
          <w:p w14:paraId="2AAD1AA8"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+0.041</w:t>
            </w:r>
          </w:p>
        </w:tc>
        <w:tc>
          <w:tcPr>
            <w:tcW w:w="1176" w:type="dxa"/>
          </w:tcPr>
          <w:p w14:paraId="4DE472A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+3.41%</w:t>
            </w:r>
          </w:p>
        </w:tc>
        <w:tc>
          <w:tcPr>
            <w:tcW w:w="1176" w:type="dxa"/>
          </w:tcPr>
          <w:p w14:paraId="500F3F6B"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-2.49%</w:t>
            </w:r>
          </w:p>
        </w:tc>
        <w:tc>
          <w:tcPr>
            <w:tcW w:w="1176" w:type="dxa"/>
          </w:tcPr>
          <w:p w14:paraId="7400C209"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0.0943</w:t>
            </w:r>
          </w:p>
        </w:tc>
        <w:tc>
          <w:tcPr>
            <w:tcW w:w="1176" w:type="dxa"/>
          </w:tcPr>
          <w:p w14:paraId="5C20CF20"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+49.7</w:t>
            </w:r>
          </w:p>
        </w:tc>
      </w:tr>
      <w:tr w:rsidR="008F5E7F" w14:paraId="1FE78497"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1010CE18" w14:textId="77777777" w:rsidR="008F5E7F" w:rsidRDefault="00000000">
            <w:pPr>
              <w:jc w:val="center"/>
            </w:pPr>
            <w:r>
              <w:rPr>
                <w:rFonts w:eastAsia="SimSun"/>
                <w:sz w:val="20"/>
              </w:rPr>
              <w:t>0.20</w:t>
            </w:r>
          </w:p>
        </w:tc>
        <w:tc>
          <w:tcPr>
            <w:tcW w:w="1176" w:type="dxa"/>
          </w:tcPr>
          <w:p w14:paraId="6FBF2317"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0.10</w:t>
            </w:r>
          </w:p>
        </w:tc>
        <w:tc>
          <w:tcPr>
            <w:tcW w:w="1176" w:type="dxa"/>
          </w:tcPr>
          <w:p w14:paraId="12B22849"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+1.381</w:t>
            </w:r>
          </w:p>
        </w:tc>
        <w:tc>
          <w:tcPr>
            <w:tcW w:w="1176" w:type="dxa"/>
          </w:tcPr>
          <w:p w14:paraId="57C046D2"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+0.016</w:t>
            </w:r>
          </w:p>
        </w:tc>
        <w:tc>
          <w:tcPr>
            <w:tcW w:w="1176" w:type="dxa"/>
          </w:tcPr>
          <w:p w14:paraId="0669B904"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+3.37%</w:t>
            </w:r>
          </w:p>
        </w:tc>
        <w:tc>
          <w:tcPr>
            <w:tcW w:w="1176" w:type="dxa"/>
          </w:tcPr>
          <w:p w14:paraId="20EB6FF3"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-2.54%</w:t>
            </w:r>
          </w:p>
        </w:tc>
        <w:tc>
          <w:tcPr>
            <w:tcW w:w="1176" w:type="dxa"/>
          </w:tcPr>
          <w:p w14:paraId="0332782D"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0.0844</w:t>
            </w:r>
          </w:p>
        </w:tc>
        <w:tc>
          <w:tcPr>
            <w:tcW w:w="1176" w:type="dxa"/>
          </w:tcPr>
          <w:p w14:paraId="423900FB"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+39.4</w:t>
            </w:r>
          </w:p>
        </w:tc>
      </w:tr>
      <w:tr w:rsidR="008F5E7F" w14:paraId="68A6927A"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0FD65273" w14:textId="77777777" w:rsidR="008F5E7F" w:rsidRDefault="00000000">
            <w:pPr>
              <w:jc w:val="center"/>
            </w:pPr>
            <w:r>
              <w:rPr>
                <w:rFonts w:eastAsia="SimSun"/>
                <w:sz w:val="20"/>
              </w:rPr>
              <w:t>0.20</w:t>
            </w:r>
          </w:p>
        </w:tc>
        <w:tc>
          <w:tcPr>
            <w:tcW w:w="1176" w:type="dxa"/>
          </w:tcPr>
          <w:p w14:paraId="2C25C518"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0.20</w:t>
            </w:r>
          </w:p>
        </w:tc>
        <w:tc>
          <w:tcPr>
            <w:tcW w:w="1176" w:type="dxa"/>
          </w:tcPr>
          <w:p w14:paraId="4006EFDA"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+1.389</w:t>
            </w:r>
          </w:p>
        </w:tc>
        <w:tc>
          <w:tcPr>
            <w:tcW w:w="1176" w:type="dxa"/>
          </w:tcPr>
          <w:p w14:paraId="652C58A2"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+0.025</w:t>
            </w:r>
          </w:p>
        </w:tc>
        <w:tc>
          <w:tcPr>
            <w:tcW w:w="1176" w:type="dxa"/>
          </w:tcPr>
          <w:p w14:paraId="715121E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+3.39%</w:t>
            </w:r>
          </w:p>
        </w:tc>
        <w:tc>
          <w:tcPr>
            <w:tcW w:w="1176" w:type="dxa"/>
          </w:tcPr>
          <w:p w14:paraId="508EA011"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-2.54%</w:t>
            </w:r>
          </w:p>
        </w:tc>
        <w:tc>
          <w:tcPr>
            <w:tcW w:w="1176" w:type="dxa"/>
          </w:tcPr>
          <w:p w14:paraId="0A9F7D7A"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0.0828</w:t>
            </w:r>
          </w:p>
        </w:tc>
        <w:tc>
          <w:tcPr>
            <w:tcW w:w="1176" w:type="dxa"/>
          </w:tcPr>
          <w:p w14:paraId="239D67DF"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+37.7</w:t>
            </w:r>
          </w:p>
        </w:tc>
      </w:tr>
      <w:tr w:rsidR="008F5E7F" w14:paraId="533887C2"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594E4290" w14:textId="77777777" w:rsidR="008F5E7F" w:rsidRDefault="00000000">
            <w:pPr>
              <w:jc w:val="center"/>
            </w:pPr>
            <w:r>
              <w:rPr>
                <w:rFonts w:eastAsia="SimSun"/>
                <w:sz w:val="20"/>
              </w:rPr>
              <w:t>0.20★</w:t>
            </w:r>
          </w:p>
        </w:tc>
        <w:tc>
          <w:tcPr>
            <w:tcW w:w="1176" w:type="dxa"/>
          </w:tcPr>
          <w:p w14:paraId="2A5C6BE6"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0.30</w:t>
            </w:r>
          </w:p>
        </w:tc>
        <w:tc>
          <w:tcPr>
            <w:tcW w:w="1176" w:type="dxa"/>
          </w:tcPr>
          <w:p w14:paraId="36A42B60"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+1.424</w:t>
            </w:r>
          </w:p>
        </w:tc>
        <w:tc>
          <w:tcPr>
            <w:tcW w:w="1176" w:type="dxa"/>
          </w:tcPr>
          <w:p w14:paraId="5320CD07"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+0.059</w:t>
            </w:r>
          </w:p>
        </w:tc>
        <w:tc>
          <w:tcPr>
            <w:tcW w:w="1176" w:type="dxa"/>
          </w:tcPr>
          <w:p w14:paraId="2C666680"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+3.47%</w:t>
            </w:r>
          </w:p>
        </w:tc>
        <w:tc>
          <w:tcPr>
            <w:tcW w:w="1176" w:type="dxa"/>
          </w:tcPr>
          <w:p w14:paraId="6F7717FC"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-2.54%</w:t>
            </w:r>
          </w:p>
        </w:tc>
        <w:tc>
          <w:tcPr>
            <w:tcW w:w="1176" w:type="dxa"/>
          </w:tcPr>
          <w:p w14:paraId="46E0166F"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0.0813</w:t>
            </w:r>
          </w:p>
        </w:tc>
        <w:tc>
          <w:tcPr>
            <w:tcW w:w="1176" w:type="dxa"/>
          </w:tcPr>
          <w:p w14:paraId="1DC96BC8"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+36.2</w:t>
            </w:r>
          </w:p>
        </w:tc>
      </w:tr>
      <w:tr w:rsidR="008F5E7F" w14:paraId="6E8BC92A"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3ABD0ED8" w14:textId="77777777" w:rsidR="008F5E7F" w:rsidRDefault="00000000">
            <w:pPr>
              <w:jc w:val="center"/>
            </w:pPr>
            <w:r>
              <w:rPr>
                <w:rFonts w:eastAsia="SimSun"/>
                <w:sz w:val="20"/>
              </w:rPr>
              <w:t>0.30</w:t>
            </w:r>
          </w:p>
        </w:tc>
        <w:tc>
          <w:tcPr>
            <w:tcW w:w="1176" w:type="dxa"/>
          </w:tcPr>
          <w:p w14:paraId="01EF477E"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0.00</w:t>
            </w:r>
          </w:p>
        </w:tc>
        <w:tc>
          <w:tcPr>
            <w:tcW w:w="1176" w:type="dxa"/>
          </w:tcPr>
          <w:p w14:paraId="53966A24"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+1.352</w:t>
            </w:r>
          </w:p>
        </w:tc>
        <w:tc>
          <w:tcPr>
            <w:tcW w:w="1176" w:type="dxa"/>
          </w:tcPr>
          <w:p w14:paraId="4C72B7DA"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-0.013</w:t>
            </w:r>
          </w:p>
        </w:tc>
        <w:tc>
          <w:tcPr>
            <w:tcW w:w="1176" w:type="dxa"/>
          </w:tcPr>
          <w:p w14:paraId="68040FB1"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+3.28%</w:t>
            </w:r>
          </w:p>
        </w:tc>
        <w:tc>
          <w:tcPr>
            <w:tcW w:w="1176" w:type="dxa"/>
          </w:tcPr>
          <w:p w14:paraId="7EDAEFE9"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-2.52%</w:t>
            </w:r>
          </w:p>
        </w:tc>
        <w:tc>
          <w:tcPr>
            <w:tcW w:w="1176" w:type="dxa"/>
          </w:tcPr>
          <w:p w14:paraId="3032AC1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0.0901</w:t>
            </w:r>
          </w:p>
        </w:tc>
        <w:tc>
          <w:tcPr>
            <w:tcW w:w="1176" w:type="dxa"/>
          </w:tcPr>
          <w:p w14:paraId="2300BE28"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+45.3</w:t>
            </w:r>
          </w:p>
        </w:tc>
      </w:tr>
      <w:tr w:rsidR="008F5E7F" w14:paraId="57DBF371"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03B138C9" w14:textId="77777777" w:rsidR="008F5E7F" w:rsidRDefault="00000000">
            <w:pPr>
              <w:jc w:val="center"/>
            </w:pPr>
            <w:r>
              <w:rPr>
                <w:rFonts w:eastAsia="SimSun"/>
                <w:sz w:val="20"/>
              </w:rPr>
              <w:t>0.30</w:t>
            </w:r>
          </w:p>
        </w:tc>
        <w:tc>
          <w:tcPr>
            <w:tcW w:w="1176" w:type="dxa"/>
          </w:tcPr>
          <w:p w14:paraId="40DC397B"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0.10</w:t>
            </w:r>
          </w:p>
        </w:tc>
        <w:tc>
          <w:tcPr>
            <w:tcW w:w="1176" w:type="dxa"/>
          </w:tcPr>
          <w:p w14:paraId="5B9601F1"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+1.348</w:t>
            </w:r>
          </w:p>
        </w:tc>
        <w:tc>
          <w:tcPr>
            <w:tcW w:w="1176" w:type="dxa"/>
          </w:tcPr>
          <w:p w14:paraId="24D567B9"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-0.017</w:t>
            </w:r>
          </w:p>
        </w:tc>
        <w:tc>
          <w:tcPr>
            <w:tcW w:w="1176" w:type="dxa"/>
          </w:tcPr>
          <w:p w14:paraId="29F8F0A3"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+3.29%</w:t>
            </w:r>
          </w:p>
        </w:tc>
        <w:tc>
          <w:tcPr>
            <w:tcW w:w="1176" w:type="dxa"/>
          </w:tcPr>
          <w:p w14:paraId="4E345B2E"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-2.57%</w:t>
            </w:r>
          </w:p>
        </w:tc>
        <w:tc>
          <w:tcPr>
            <w:tcW w:w="1176" w:type="dxa"/>
          </w:tcPr>
          <w:p w14:paraId="499AD5DE"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0.0807</w:t>
            </w:r>
          </w:p>
        </w:tc>
        <w:tc>
          <w:tcPr>
            <w:tcW w:w="1176" w:type="dxa"/>
          </w:tcPr>
          <w:p w14:paraId="540B7D8A"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+35.5</w:t>
            </w:r>
          </w:p>
        </w:tc>
      </w:tr>
      <w:tr w:rsidR="008F5E7F" w14:paraId="516211E4"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2C172DDD" w14:textId="77777777" w:rsidR="008F5E7F" w:rsidRDefault="00000000">
            <w:pPr>
              <w:jc w:val="center"/>
            </w:pPr>
            <w:r>
              <w:rPr>
                <w:rFonts w:eastAsia="SimSun"/>
                <w:sz w:val="20"/>
              </w:rPr>
              <w:t>0.30</w:t>
            </w:r>
          </w:p>
        </w:tc>
        <w:tc>
          <w:tcPr>
            <w:tcW w:w="1176" w:type="dxa"/>
          </w:tcPr>
          <w:p w14:paraId="10473BC6"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0.20</w:t>
            </w:r>
          </w:p>
        </w:tc>
        <w:tc>
          <w:tcPr>
            <w:tcW w:w="1176" w:type="dxa"/>
          </w:tcPr>
          <w:p w14:paraId="17CCCF28"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+1.363</w:t>
            </w:r>
          </w:p>
        </w:tc>
        <w:tc>
          <w:tcPr>
            <w:tcW w:w="1176" w:type="dxa"/>
          </w:tcPr>
          <w:p w14:paraId="2733FC29"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-0.002</w:t>
            </w:r>
          </w:p>
        </w:tc>
        <w:tc>
          <w:tcPr>
            <w:tcW w:w="1176" w:type="dxa"/>
          </w:tcPr>
          <w:p w14:paraId="105D8771"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+3.33%</w:t>
            </w:r>
          </w:p>
        </w:tc>
        <w:tc>
          <w:tcPr>
            <w:tcW w:w="1176" w:type="dxa"/>
          </w:tcPr>
          <w:p w14:paraId="6F21A5A8"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-2.57%</w:t>
            </w:r>
          </w:p>
        </w:tc>
        <w:tc>
          <w:tcPr>
            <w:tcW w:w="1176" w:type="dxa"/>
          </w:tcPr>
          <w:p w14:paraId="78DD134A"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0.0788</w:t>
            </w:r>
          </w:p>
        </w:tc>
        <w:tc>
          <w:tcPr>
            <w:tcW w:w="1176" w:type="dxa"/>
          </w:tcPr>
          <w:p w14:paraId="543A086D"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+33.6</w:t>
            </w:r>
          </w:p>
        </w:tc>
      </w:tr>
      <w:tr w:rsidR="008F5E7F" w14:paraId="51352B2F"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3A553EEE" w14:textId="77777777" w:rsidR="008F5E7F" w:rsidRDefault="00000000">
            <w:pPr>
              <w:jc w:val="center"/>
            </w:pPr>
            <w:r>
              <w:rPr>
                <w:rFonts w:eastAsia="SimSun"/>
                <w:sz w:val="20"/>
              </w:rPr>
              <w:t>0.30</w:t>
            </w:r>
          </w:p>
        </w:tc>
        <w:tc>
          <w:tcPr>
            <w:tcW w:w="1176" w:type="dxa"/>
          </w:tcPr>
          <w:p w14:paraId="735C07E6"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0.30</w:t>
            </w:r>
          </w:p>
        </w:tc>
        <w:tc>
          <w:tcPr>
            <w:tcW w:w="1176" w:type="dxa"/>
          </w:tcPr>
          <w:p w14:paraId="2CA801C9"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+1.364</w:t>
            </w:r>
          </w:p>
        </w:tc>
        <w:tc>
          <w:tcPr>
            <w:tcW w:w="1176" w:type="dxa"/>
          </w:tcPr>
          <w:p w14:paraId="44593FD4"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-0.001</w:t>
            </w:r>
          </w:p>
        </w:tc>
        <w:tc>
          <w:tcPr>
            <w:tcW w:w="1176" w:type="dxa"/>
          </w:tcPr>
          <w:p w14:paraId="2EF2909E"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+3.34%</w:t>
            </w:r>
          </w:p>
        </w:tc>
        <w:tc>
          <w:tcPr>
            <w:tcW w:w="1176" w:type="dxa"/>
          </w:tcPr>
          <w:p w14:paraId="2AA2C6C1"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-2.57%</w:t>
            </w:r>
          </w:p>
        </w:tc>
        <w:tc>
          <w:tcPr>
            <w:tcW w:w="1176" w:type="dxa"/>
          </w:tcPr>
          <w:p w14:paraId="41AFAD49"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0.0766</w:t>
            </w:r>
          </w:p>
        </w:tc>
        <w:tc>
          <w:tcPr>
            <w:tcW w:w="1176" w:type="dxa"/>
          </w:tcPr>
          <w:p w14:paraId="0B9794D3"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+31.3</w:t>
            </w:r>
          </w:p>
        </w:tc>
      </w:tr>
    </w:tbl>
    <w:p w14:paraId="7FC67D51" w14:textId="77777777" w:rsidR="008F5E7F" w:rsidRDefault="00000000">
      <w:pPr>
        <w:spacing w:after="80" w:line="336" w:lineRule="auto"/>
        <w:ind w:firstLine="454"/>
      </w:pPr>
      <w:r>
        <w:rPr>
          <w:rFonts w:eastAsia="SimSun"/>
        </w:rPr>
        <w:t>读表要点：</w:t>
      </w:r>
    </w:p>
    <w:p w14:paraId="7CC2850F" w14:textId="77777777" w:rsidR="008F5E7F" w:rsidRDefault="00000000">
      <w:pPr>
        <w:pStyle w:val="ListBullet"/>
        <w:spacing w:after="40" w:line="312" w:lineRule="auto"/>
      </w:pPr>
      <w:r>
        <w:rPr>
          <w:rFonts w:eastAsia="SimSun"/>
        </w:rPr>
        <w:t>q=0.10 系列（更集中的 α 选股）在 IS 上 raw-Sharpe 最高，峰值为 q=0.10、ε=0.30 的 +1.468（Δ vs baseline +0.103）。</w:t>
      </w:r>
    </w:p>
    <w:p w14:paraId="4D777B39" w14:textId="77777777" w:rsidR="008F5E7F" w:rsidRDefault="00000000">
      <w:pPr>
        <w:pStyle w:val="ListBullet"/>
        <w:spacing w:after="40" w:line="312" w:lineRule="auto"/>
      </w:pPr>
      <w:r>
        <w:rPr>
          <w:rFonts w:eastAsia="SimSun"/>
        </w:rPr>
        <w:lastRenderedPageBreak/>
        <w:t>q=0.20 系列 Sharpe 略低（+1.42 附近），但换手明显更低（0.081 vs 0.087）。由于 plateau 内 4 个 cell 的 Δ-Sharpe 都在 ±0.05 内，plateau 规则倾向于选择换手最低的 (q=0.20, ε=0.30) 作为落地方案。</w:t>
      </w:r>
    </w:p>
    <w:p w14:paraId="7BBF0D66" w14:textId="77777777" w:rsidR="008F5E7F" w:rsidRDefault="00000000">
      <w:pPr>
        <w:pStyle w:val="ListBullet"/>
        <w:spacing w:after="40" w:line="312" w:lineRule="auto"/>
      </w:pPr>
      <w:r>
        <w:rPr>
          <w:rFonts w:eastAsia="SimSun"/>
        </w:rPr>
        <w:t>q=0.30 系列在多数 (ε) 上 Δ-Sharpe ≤ 0，说明选股面过宽时 α 信号会被稀释。</w:t>
      </w:r>
    </w:p>
    <w:p w14:paraId="6B71FE22" w14:textId="77777777" w:rsidR="008F5E7F" w:rsidRDefault="00000000">
      <w:pPr>
        <w:pStyle w:val="Heading2"/>
      </w:pPr>
      <w:r>
        <w:rPr>
          <w:rFonts w:ascii="SimHei" w:eastAsia="SimHei" w:hAnsi="SimHei"/>
        </w:rPr>
        <w:t>2.3 plateau 规则与 winner</w:t>
      </w:r>
    </w:p>
    <w:p w14:paraId="0F2F56C4" w14:textId="77777777" w:rsidR="008F5E7F" w:rsidRDefault="00000000">
      <w:pPr>
        <w:spacing w:after="80" w:line="336" w:lineRule="auto"/>
        <w:ind w:firstLine="454"/>
      </w:pPr>
      <w:r>
        <w:rPr>
          <w:rFonts w:eastAsia="SimSun"/>
        </w:rPr>
        <w:t>plateau 规则：在 Δ-Sharpe ≥ (max Δ-Sharpe − 0.05) 的所有格子里，按 turnover 升序（低换手优先），再依 ε 升序（更粘的仓位）、q 升序（更集中）打破平手。plateau 内含 4 个格子，冠军为 q=0.20、ε=0.30：IS Sharpe +1.577 / CAGR +4.24% / DD -2.54% / 换手 0.0813。</w:t>
      </w:r>
    </w:p>
    <w:p w14:paraId="26204CC9" w14:textId="77777777" w:rsidR="008F5E7F" w:rsidRDefault="00000000">
      <w:pPr>
        <w:spacing w:after="80" w:line="336" w:lineRule="auto"/>
        <w:ind w:firstLine="454"/>
      </w:pPr>
      <w:r>
        <w:rPr>
          <w:rFonts w:eastAsia="SimSun"/>
        </w:rPr>
        <w:t>同时报告 q=0.10、ε=0.30 作为“raw-IS 最高”参考：IS Sharpe +1.626 / CAGR +4.44% / DD -2.57% / 换手 0.0873。</w:t>
      </w:r>
    </w:p>
    <w:p w14:paraId="402E7B9C" w14:textId="77777777" w:rsidR="008F5E7F" w:rsidRDefault="00000000">
      <w:pPr>
        <w:pStyle w:val="Heading1"/>
      </w:pPr>
      <w:r>
        <w:rPr>
          <w:rFonts w:ascii="SimHei" w:eastAsia="SimHei" w:hAnsi="SimHei"/>
        </w:rPr>
        <w:t>三、α off 与 Layer-1 canonical 的一致性校验</w:t>
      </w:r>
    </w:p>
    <w:p w14:paraId="5248D92D" w14:textId="77777777" w:rsidR="008F5E7F" w:rsidRDefault="00000000">
      <w:pPr>
        <w:spacing w:after="80" w:line="336" w:lineRule="auto"/>
        <w:ind w:firstLine="454"/>
      </w:pPr>
      <w:r>
        <w:rPr>
          <w:rFonts w:eastAsia="SimSun"/>
        </w:rPr>
        <w:t>为了保证 Δ 能干净地归因给 α 层，两组的“组内 inv-vol × 组间 LW-ERC + no-trend”结构在数值上应当等价。作为 sanity check，把 (q=1, ε=0) 的 two_layer_baseline 与单层实现的 layer1_invvol_lw_erc 直接叠加：净值曲线在整个 IS+OOS 窗口内几乎完全重叠，相对偏差主要来自浮点求解误差与 sub-block share 舍入。</w:t>
      </w:r>
    </w:p>
    <w:p w14:paraId="4FC07474" w14:textId="77777777" w:rsidR="008F5E7F" w:rsidRDefault="00000000">
      <w:pPr>
        <w:jc w:val="center"/>
      </w:pPr>
      <w:r>
        <w:rPr>
          <w:noProof/>
        </w:rPr>
        <w:drawing>
          <wp:inline distT="0" distB="0" distL="0" distR="0" wp14:anchorId="27B4CDAF" wp14:editId="5E4373FC">
            <wp:extent cx="5580000" cy="2645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alpha_off_identity.png"/>
                    <pic:cNvPicPr/>
                  </pic:nvPicPr>
                  <pic:blipFill>
                    <a:blip r:embed="rId7"/>
                    <a:stretch>
                      <a:fillRect/>
                    </a:stretch>
                  </pic:blipFill>
                  <pic:spPr>
                    <a:xfrm>
                      <a:off x="0" y="0"/>
                      <a:ext cx="5580000" cy="2645300"/>
                    </a:xfrm>
                    <a:prstGeom prst="rect">
                      <a:avLst/>
                    </a:prstGeom>
                  </pic:spPr>
                </pic:pic>
              </a:graphicData>
            </a:graphic>
          </wp:inline>
        </w:drawing>
      </w:r>
    </w:p>
    <w:p w14:paraId="25406F91" w14:textId="77777777" w:rsidR="008F5E7F" w:rsidRDefault="00000000">
      <w:pPr>
        <w:jc w:val="center"/>
      </w:pPr>
      <w:r>
        <w:rPr>
          <w:rFonts w:eastAsia="SimSun"/>
          <w:color w:val="666666"/>
          <w:sz w:val="18"/>
        </w:rPr>
        <w:t>图 2  α off 的双层结构 vs Layer-1 canonical（近似同一条线）</w:t>
      </w:r>
    </w:p>
    <w:tbl>
      <w:tblPr>
        <w:tblStyle w:val="LightGrid-Accent1"/>
        <w:tblW w:w="0" w:type="auto"/>
        <w:jc w:val="center"/>
        <w:tblLook w:val="04A0" w:firstRow="1" w:lastRow="0" w:firstColumn="1" w:lastColumn="0" w:noHBand="0" w:noVBand="1"/>
      </w:tblPr>
      <w:tblGrid>
        <w:gridCol w:w="1344"/>
        <w:gridCol w:w="1344"/>
        <w:gridCol w:w="1344"/>
        <w:gridCol w:w="1344"/>
        <w:gridCol w:w="1344"/>
        <w:gridCol w:w="1344"/>
        <w:gridCol w:w="1344"/>
      </w:tblGrid>
      <w:tr w:rsidR="008F5E7F" w14:paraId="3B437F2D" w14:textId="77777777" w:rsidTr="008F5E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3404D6F5" w14:textId="77777777" w:rsidR="008F5E7F" w:rsidRDefault="00000000">
            <w:pPr>
              <w:jc w:val="center"/>
            </w:pPr>
            <w:r>
              <w:rPr>
                <w:rFonts w:eastAsia="SimSun"/>
                <w:sz w:val="20"/>
              </w:rPr>
              <w:t>书</w:t>
            </w:r>
          </w:p>
        </w:tc>
        <w:tc>
          <w:tcPr>
            <w:tcW w:w="1344" w:type="dxa"/>
          </w:tcPr>
          <w:p w14:paraId="38B74135"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IS Sharpe</w:t>
            </w:r>
          </w:p>
        </w:tc>
        <w:tc>
          <w:tcPr>
            <w:tcW w:w="1344" w:type="dxa"/>
          </w:tcPr>
          <w:p w14:paraId="694D5DAD"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OOS Sharpe</w:t>
            </w:r>
          </w:p>
        </w:tc>
        <w:tc>
          <w:tcPr>
            <w:tcW w:w="1344" w:type="dxa"/>
          </w:tcPr>
          <w:p w14:paraId="580FA45E"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全窗 Sharpe</w:t>
            </w:r>
          </w:p>
        </w:tc>
        <w:tc>
          <w:tcPr>
            <w:tcW w:w="1344" w:type="dxa"/>
          </w:tcPr>
          <w:p w14:paraId="6B2180EA"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IS CAGR</w:t>
            </w:r>
          </w:p>
        </w:tc>
        <w:tc>
          <w:tcPr>
            <w:tcW w:w="1344" w:type="dxa"/>
          </w:tcPr>
          <w:p w14:paraId="7F5B77E1"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OOS CAGR</w:t>
            </w:r>
          </w:p>
        </w:tc>
        <w:tc>
          <w:tcPr>
            <w:tcW w:w="1344" w:type="dxa"/>
          </w:tcPr>
          <w:p w14:paraId="73130213"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最大回撤</w:t>
            </w:r>
          </w:p>
        </w:tc>
      </w:tr>
      <w:tr w:rsidR="008F5E7F" w14:paraId="2238AE59"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772A6F5" w14:textId="77777777" w:rsidR="008F5E7F" w:rsidRDefault="00000000">
            <w:pPr>
              <w:jc w:val="center"/>
            </w:pPr>
            <w:r>
              <w:rPr>
                <w:rFonts w:eastAsia="SimSun"/>
                <w:sz w:val="20"/>
              </w:rPr>
              <w:t>双层 α off</w:t>
            </w:r>
          </w:p>
        </w:tc>
        <w:tc>
          <w:tcPr>
            <w:tcW w:w="1344" w:type="dxa"/>
          </w:tcPr>
          <w:p w14:paraId="747BD506"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+1.511</w:t>
            </w:r>
          </w:p>
        </w:tc>
        <w:tc>
          <w:tcPr>
            <w:tcW w:w="1344" w:type="dxa"/>
          </w:tcPr>
          <w:p w14:paraId="4DA84715"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+3.539</w:t>
            </w:r>
          </w:p>
        </w:tc>
        <w:tc>
          <w:tcPr>
            <w:tcW w:w="1344" w:type="dxa"/>
          </w:tcPr>
          <w:p w14:paraId="4BBBCCDE"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+1.733</w:t>
            </w:r>
          </w:p>
        </w:tc>
        <w:tc>
          <w:tcPr>
            <w:tcW w:w="1344" w:type="dxa"/>
          </w:tcPr>
          <w:p w14:paraId="7EAF2B20"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+3.91%</w:t>
            </w:r>
          </w:p>
        </w:tc>
        <w:tc>
          <w:tcPr>
            <w:tcW w:w="1344" w:type="dxa"/>
          </w:tcPr>
          <w:p w14:paraId="21165999"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+4.57%</w:t>
            </w:r>
          </w:p>
        </w:tc>
        <w:tc>
          <w:tcPr>
            <w:tcW w:w="1344" w:type="dxa"/>
          </w:tcPr>
          <w:p w14:paraId="7177F681"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-2.43%</w:t>
            </w:r>
          </w:p>
        </w:tc>
      </w:tr>
      <w:tr w:rsidR="008F5E7F" w14:paraId="1BD62CDB"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3854CFE" w14:textId="77777777" w:rsidR="008F5E7F" w:rsidRDefault="00000000">
            <w:pPr>
              <w:jc w:val="center"/>
            </w:pPr>
            <w:r>
              <w:rPr>
                <w:rFonts w:eastAsia="SimSun"/>
                <w:sz w:val="20"/>
              </w:rPr>
              <w:t>Layer-1 canonical</w:t>
            </w:r>
          </w:p>
        </w:tc>
        <w:tc>
          <w:tcPr>
            <w:tcW w:w="1344" w:type="dxa"/>
          </w:tcPr>
          <w:p w14:paraId="5BE7A31C"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+1.570</w:t>
            </w:r>
          </w:p>
        </w:tc>
        <w:tc>
          <w:tcPr>
            <w:tcW w:w="1344" w:type="dxa"/>
          </w:tcPr>
          <w:p w14:paraId="60694628"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+3.499</w:t>
            </w:r>
          </w:p>
        </w:tc>
        <w:tc>
          <w:tcPr>
            <w:tcW w:w="1344" w:type="dxa"/>
          </w:tcPr>
          <w:p w14:paraId="41B55655"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+1.765</w:t>
            </w:r>
          </w:p>
        </w:tc>
        <w:tc>
          <w:tcPr>
            <w:tcW w:w="1344" w:type="dxa"/>
          </w:tcPr>
          <w:p w14:paraId="64BDC0A3"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+4.19%</w:t>
            </w:r>
          </w:p>
        </w:tc>
        <w:tc>
          <w:tcPr>
            <w:tcW w:w="1344" w:type="dxa"/>
          </w:tcPr>
          <w:p w14:paraId="5E940B2C"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+4.52%</w:t>
            </w:r>
          </w:p>
        </w:tc>
        <w:tc>
          <w:tcPr>
            <w:tcW w:w="1344" w:type="dxa"/>
          </w:tcPr>
          <w:p w14:paraId="707D8EA4"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-2.55%</w:t>
            </w:r>
          </w:p>
        </w:tc>
      </w:tr>
    </w:tbl>
    <w:p w14:paraId="02838A08" w14:textId="77777777" w:rsidR="008F5E7F" w:rsidRDefault="00000000">
      <w:pPr>
        <w:pStyle w:val="Heading1"/>
      </w:pPr>
      <w:r>
        <w:rPr>
          <w:rFonts w:ascii="SimHei" w:eastAsia="SimHei" w:hAnsi="SimHei"/>
        </w:rPr>
        <w:lastRenderedPageBreak/>
        <w:t>四、样本外结果（OOS shot）</w:t>
      </w:r>
    </w:p>
    <w:p w14:paraId="0B52F86D" w14:textId="77777777" w:rsidR="008F5E7F" w:rsidRDefault="00000000">
      <w:pPr>
        <w:pStyle w:val="Heading2"/>
      </w:pPr>
      <w:r>
        <w:rPr>
          <w:rFonts w:ascii="SimHei" w:eastAsia="SimHei" w:hAnsi="SimHei"/>
        </w:rPr>
        <w:t>4.1 三窗汇总</w:t>
      </w:r>
    </w:p>
    <w:p w14:paraId="091124D3" w14:textId="77777777" w:rsidR="008F5E7F" w:rsidRDefault="00000000">
      <w:pPr>
        <w:spacing w:after="80" w:line="336" w:lineRule="auto"/>
        <w:ind w:firstLine="454"/>
      </w:pPr>
      <w:r>
        <w:rPr>
          <w:rFonts w:eastAsia="SimSun"/>
        </w:rPr>
        <w:t>IS = 共同起点 2019-05-31 → 2023-12-31，OOS = 2024-01-01 → 2025-07-31（82 周），hold-out（&gt; 2025-07-31）保留为密封窗口，本报告不涉及。所有指标均在 10 bp / 单边成本口径下计算。</w:t>
      </w:r>
    </w:p>
    <w:tbl>
      <w:tblPr>
        <w:tblStyle w:val="LightGrid-Accent1"/>
        <w:tblW w:w="0" w:type="auto"/>
        <w:jc w:val="center"/>
        <w:tblLook w:val="04A0" w:firstRow="1" w:lastRow="0" w:firstColumn="1" w:lastColumn="0" w:noHBand="0" w:noVBand="1"/>
      </w:tblPr>
      <w:tblGrid>
        <w:gridCol w:w="1344"/>
        <w:gridCol w:w="1344"/>
        <w:gridCol w:w="1344"/>
        <w:gridCol w:w="1344"/>
        <w:gridCol w:w="1344"/>
        <w:gridCol w:w="1344"/>
        <w:gridCol w:w="1344"/>
      </w:tblGrid>
      <w:tr w:rsidR="008F5E7F" w14:paraId="0F896A81" w14:textId="77777777" w:rsidTr="008F5E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1BE7819" w14:textId="77777777" w:rsidR="008F5E7F" w:rsidRDefault="00000000">
            <w:pPr>
              <w:jc w:val="center"/>
            </w:pPr>
            <w:r>
              <w:rPr>
                <w:rFonts w:eastAsia="SimSun"/>
                <w:sz w:val="20"/>
              </w:rPr>
              <w:t>书</w:t>
            </w:r>
          </w:p>
        </w:tc>
        <w:tc>
          <w:tcPr>
            <w:tcW w:w="1344" w:type="dxa"/>
          </w:tcPr>
          <w:p w14:paraId="331256A4"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窗口</w:t>
            </w:r>
          </w:p>
        </w:tc>
        <w:tc>
          <w:tcPr>
            <w:tcW w:w="1344" w:type="dxa"/>
          </w:tcPr>
          <w:p w14:paraId="6192923D"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净夏普</w:t>
            </w:r>
          </w:p>
        </w:tc>
        <w:tc>
          <w:tcPr>
            <w:tcW w:w="1344" w:type="dxa"/>
          </w:tcPr>
          <w:p w14:paraId="4F0124FF"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CAGR</w:t>
            </w:r>
          </w:p>
        </w:tc>
        <w:tc>
          <w:tcPr>
            <w:tcW w:w="1344" w:type="dxa"/>
          </w:tcPr>
          <w:p w14:paraId="79F5279F"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最大回撤</w:t>
            </w:r>
          </w:p>
        </w:tc>
        <w:tc>
          <w:tcPr>
            <w:tcW w:w="1344" w:type="dxa"/>
          </w:tcPr>
          <w:p w14:paraId="4CFDE88F"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年化波动</w:t>
            </w:r>
          </w:p>
        </w:tc>
        <w:tc>
          <w:tcPr>
            <w:tcW w:w="1344" w:type="dxa"/>
          </w:tcPr>
          <w:p w14:paraId="43CFA212"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Calmar</w:t>
            </w:r>
          </w:p>
        </w:tc>
      </w:tr>
      <w:tr w:rsidR="008F5E7F" w14:paraId="3B28158D"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5C781CD" w14:textId="77777777" w:rsidR="008F5E7F" w:rsidRDefault="00000000">
            <w:pPr>
              <w:jc w:val="center"/>
            </w:pPr>
            <w:r>
              <w:rPr>
                <w:rFonts w:eastAsia="SimSun"/>
                <w:sz w:val="20"/>
              </w:rPr>
              <w:t>双层 q=0.20 ε=0.30</w:t>
            </w:r>
          </w:p>
        </w:tc>
        <w:tc>
          <w:tcPr>
            <w:tcW w:w="1344" w:type="dxa"/>
          </w:tcPr>
          <w:p w14:paraId="71CB4C05"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样本内</w:t>
            </w:r>
          </w:p>
        </w:tc>
        <w:tc>
          <w:tcPr>
            <w:tcW w:w="1344" w:type="dxa"/>
          </w:tcPr>
          <w:p w14:paraId="1F303EA6"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+1.577</w:t>
            </w:r>
          </w:p>
        </w:tc>
        <w:tc>
          <w:tcPr>
            <w:tcW w:w="1344" w:type="dxa"/>
          </w:tcPr>
          <w:p w14:paraId="18E03043"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+4.24%</w:t>
            </w:r>
          </w:p>
        </w:tc>
        <w:tc>
          <w:tcPr>
            <w:tcW w:w="1344" w:type="dxa"/>
          </w:tcPr>
          <w:p w14:paraId="6BA8388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-2.54%</w:t>
            </w:r>
          </w:p>
        </w:tc>
        <w:tc>
          <w:tcPr>
            <w:tcW w:w="1344" w:type="dxa"/>
          </w:tcPr>
          <w:p w14:paraId="2F8D8A1B"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+2.90%</w:t>
            </w:r>
          </w:p>
        </w:tc>
        <w:tc>
          <w:tcPr>
            <w:tcW w:w="1344" w:type="dxa"/>
          </w:tcPr>
          <w:p w14:paraId="63F7F969"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1.67</w:t>
            </w:r>
          </w:p>
        </w:tc>
      </w:tr>
      <w:tr w:rsidR="008F5E7F" w14:paraId="2C44DE67"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BCF84FD" w14:textId="77777777" w:rsidR="008F5E7F" w:rsidRDefault="00000000">
            <w:pPr>
              <w:jc w:val="center"/>
            </w:pPr>
            <w:r>
              <w:rPr>
                <w:rFonts w:eastAsia="SimSun"/>
                <w:sz w:val="20"/>
              </w:rPr>
              <w:t>双层 q=0.20 ε=0.30</w:t>
            </w:r>
          </w:p>
        </w:tc>
        <w:tc>
          <w:tcPr>
            <w:tcW w:w="1344" w:type="dxa"/>
          </w:tcPr>
          <w:p w14:paraId="332D8B51"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样本外</w:t>
            </w:r>
          </w:p>
        </w:tc>
        <w:tc>
          <w:tcPr>
            <w:tcW w:w="1344" w:type="dxa"/>
          </w:tcPr>
          <w:p w14:paraId="75467F1C"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+3.621</w:t>
            </w:r>
          </w:p>
        </w:tc>
        <w:tc>
          <w:tcPr>
            <w:tcW w:w="1344" w:type="dxa"/>
          </w:tcPr>
          <w:p w14:paraId="2C874976"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+4.48%</w:t>
            </w:r>
          </w:p>
        </w:tc>
        <w:tc>
          <w:tcPr>
            <w:tcW w:w="1344" w:type="dxa"/>
          </w:tcPr>
          <w:p w14:paraId="5D1A0A1C"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-0.36%</w:t>
            </w:r>
          </w:p>
        </w:tc>
        <w:tc>
          <w:tcPr>
            <w:tcW w:w="1344" w:type="dxa"/>
          </w:tcPr>
          <w:p w14:paraId="4B02B0A2"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+1.25%</w:t>
            </w:r>
          </w:p>
        </w:tc>
        <w:tc>
          <w:tcPr>
            <w:tcW w:w="1344" w:type="dxa"/>
          </w:tcPr>
          <w:p w14:paraId="413F163C"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12.55</w:t>
            </w:r>
          </w:p>
        </w:tc>
      </w:tr>
      <w:tr w:rsidR="008F5E7F" w14:paraId="7EB6AE47"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914F0C1" w14:textId="77777777" w:rsidR="008F5E7F" w:rsidRDefault="00000000">
            <w:pPr>
              <w:jc w:val="center"/>
            </w:pPr>
            <w:r>
              <w:rPr>
                <w:rFonts w:eastAsia="SimSun"/>
                <w:sz w:val="20"/>
              </w:rPr>
              <w:t>双层 q=0.20 ε=0.30</w:t>
            </w:r>
          </w:p>
        </w:tc>
        <w:tc>
          <w:tcPr>
            <w:tcW w:w="1344" w:type="dxa"/>
          </w:tcPr>
          <w:p w14:paraId="6365060F"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全窗</w:t>
            </w:r>
          </w:p>
        </w:tc>
        <w:tc>
          <w:tcPr>
            <w:tcW w:w="1344" w:type="dxa"/>
          </w:tcPr>
          <w:p w14:paraId="35A66782"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+1.768</w:t>
            </w:r>
          </w:p>
        </w:tc>
        <w:tc>
          <w:tcPr>
            <w:tcW w:w="1344" w:type="dxa"/>
          </w:tcPr>
          <w:p w14:paraId="4BDDBBF2"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+4.10%</w:t>
            </w:r>
          </w:p>
        </w:tc>
        <w:tc>
          <w:tcPr>
            <w:tcW w:w="1344" w:type="dxa"/>
          </w:tcPr>
          <w:p w14:paraId="148004F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-2.54%</w:t>
            </w:r>
          </w:p>
        </w:tc>
        <w:tc>
          <w:tcPr>
            <w:tcW w:w="1344" w:type="dxa"/>
          </w:tcPr>
          <w:p w14:paraId="0E4B273D"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+2.58%</w:t>
            </w:r>
          </w:p>
        </w:tc>
        <w:tc>
          <w:tcPr>
            <w:tcW w:w="1344" w:type="dxa"/>
          </w:tcPr>
          <w:p w14:paraId="742D08C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1.61</w:t>
            </w:r>
          </w:p>
        </w:tc>
      </w:tr>
      <w:tr w:rsidR="008F5E7F" w14:paraId="7B66A567"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148E0E4" w14:textId="77777777" w:rsidR="008F5E7F" w:rsidRDefault="00000000">
            <w:pPr>
              <w:jc w:val="center"/>
            </w:pPr>
            <w:r>
              <w:rPr>
                <w:rFonts w:eastAsia="SimSun"/>
                <w:sz w:val="20"/>
              </w:rPr>
              <w:t>双层 q=0.10 ε=0.30</w:t>
            </w:r>
          </w:p>
        </w:tc>
        <w:tc>
          <w:tcPr>
            <w:tcW w:w="1344" w:type="dxa"/>
          </w:tcPr>
          <w:p w14:paraId="23E8517D"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样本内</w:t>
            </w:r>
          </w:p>
        </w:tc>
        <w:tc>
          <w:tcPr>
            <w:tcW w:w="1344" w:type="dxa"/>
          </w:tcPr>
          <w:p w14:paraId="228AE6E7"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+1.626</w:t>
            </w:r>
          </w:p>
        </w:tc>
        <w:tc>
          <w:tcPr>
            <w:tcW w:w="1344" w:type="dxa"/>
          </w:tcPr>
          <w:p w14:paraId="45C8F220"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+4.44%</w:t>
            </w:r>
          </w:p>
        </w:tc>
        <w:tc>
          <w:tcPr>
            <w:tcW w:w="1344" w:type="dxa"/>
          </w:tcPr>
          <w:p w14:paraId="48FD9708"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-2.57%</w:t>
            </w:r>
          </w:p>
        </w:tc>
        <w:tc>
          <w:tcPr>
            <w:tcW w:w="1344" w:type="dxa"/>
          </w:tcPr>
          <w:p w14:paraId="4397ECD7"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+2.96%</w:t>
            </w:r>
          </w:p>
        </w:tc>
        <w:tc>
          <w:tcPr>
            <w:tcW w:w="1344" w:type="dxa"/>
          </w:tcPr>
          <w:p w14:paraId="3665D344"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1.73</w:t>
            </w:r>
          </w:p>
        </w:tc>
      </w:tr>
      <w:tr w:rsidR="008F5E7F" w14:paraId="52F74998"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BE4481F" w14:textId="77777777" w:rsidR="008F5E7F" w:rsidRDefault="00000000">
            <w:pPr>
              <w:jc w:val="center"/>
            </w:pPr>
            <w:r>
              <w:rPr>
                <w:rFonts w:eastAsia="SimSun"/>
                <w:sz w:val="20"/>
              </w:rPr>
              <w:t>双层 q=0.10 ε=0.30</w:t>
            </w:r>
          </w:p>
        </w:tc>
        <w:tc>
          <w:tcPr>
            <w:tcW w:w="1344" w:type="dxa"/>
          </w:tcPr>
          <w:p w14:paraId="6FAF8FB8"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样本外</w:t>
            </w:r>
          </w:p>
        </w:tc>
        <w:tc>
          <w:tcPr>
            <w:tcW w:w="1344" w:type="dxa"/>
          </w:tcPr>
          <w:p w14:paraId="3D298A78"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+3.657</w:t>
            </w:r>
          </w:p>
        </w:tc>
        <w:tc>
          <w:tcPr>
            <w:tcW w:w="1344" w:type="dxa"/>
          </w:tcPr>
          <w:p w14:paraId="7DB1E466"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+4.54%</w:t>
            </w:r>
          </w:p>
        </w:tc>
        <w:tc>
          <w:tcPr>
            <w:tcW w:w="1344" w:type="dxa"/>
          </w:tcPr>
          <w:p w14:paraId="2C940FD9"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-0.38%</w:t>
            </w:r>
          </w:p>
        </w:tc>
        <w:tc>
          <w:tcPr>
            <w:tcW w:w="1344" w:type="dxa"/>
          </w:tcPr>
          <w:p w14:paraId="4730B5CC"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+1.26%</w:t>
            </w:r>
          </w:p>
        </w:tc>
        <w:tc>
          <w:tcPr>
            <w:tcW w:w="1344" w:type="dxa"/>
          </w:tcPr>
          <w:p w14:paraId="32BB3544"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12.10</w:t>
            </w:r>
          </w:p>
        </w:tc>
      </w:tr>
      <w:tr w:rsidR="008F5E7F" w14:paraId="313C323F"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3CF2887" w14:textId="77777777" w:rsidR="008F5E7F" w:rsidRDefault="00000000">
            <w:pPr>
              <w:jc w:val="center"/>
            </w:pPr>
            <w:r>
              <w:rPr>
                <w:rFonts w:eastAsia="SimSun"/>
                <w:sz w:val="20"/>
              </w:rPr>
              <w:t>双层 q=0.10 ε=0.30</w:t>
            </w:r>
          </w:p>
        </w:tc>
        <w:tc>
          <w:tcPr>
            <w:tcW w:w="1344" w:type="dxa"/>
          </w:tcPr>
          <w:p w14:paraId="6D52BADA"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全窗</w:t>
            </w:r>
          </w:p>
        </w:tc>
        <w:tc>
          <w:tcPr>
            <w:tcW w:w="1344" w:type="dxa"/>
          </w:tcPr>
          <w:p w14:paraId="19D7281F"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+1.809</w:t>
            </w:r>
          </w:p>
        </w:tc>
        <w:tc>
          <w:tcPr>
            <w:tcW w:w="1344" w:type="dxa"/>
          </w:tcPr>
          <w:p w14:paraId="6E2AE887"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+4.26%</w:t>
            </w:r>
          </w:p>
        </w:tc>
        <w:tc>
          <w:tcPr>
            <w:tcW w:w="1344" w:type="dxa"/>
          </w:tcPr>
          <w:p w14:paraId="7F2776E1"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-2.57%</w:t>
            </w:r>
          </w:p>
        </w:tc>
        <w:tc>
          <w:tcPr>
            <w:tcW w:w="1344" w:type="dxa"/>
          </w:tcPr>
          <w:p w14:paraId="28088EE6"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+2.63%</w:t>
            </w:r>
          </w:p>
        </w:tc>
        <w:tc>
          <w:tcPr>
            <w:tcW w:w="1344" w:type="dxa"/>
          </w:tcPr>
          <w:p w14:paraId="6B5EDC74"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1.66</w:t>
            </w:r>
          </w:p>
        </w:tc>
      </w:tr>
      <w:tr w:rsidR="008F5E7F" w14:paraId="7B95AB95"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D606823" w14:textId="77777777" w:rsidR="008F5E7F" w:rsidRDefault="00000000">
            <w:pPr>
              <w:jc w:val="center"/>
            </w:pPr>
            <w:r>
              <w:rPr>
                <w:rFonts w:eastAsia="SimSun"/>
                <w:sz w:val="20"/>
              </w:rPr>
              <w:t>双层 α off</w:t>
            </w:r>
          </w:p>
        </w:tc>
        <w:tc>
          <w:tcPr>
            <w:tcW w:w="1344" w:type="dxa"/>
          </w:tcPr>
          <w:p w14:paraId="2687EAF9"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样本内</w:t>
            </w:r>
          </w:p>
        </w:tc>
        <w:tc>
          <w:tcPr>
            <w:tcW w:w="1344" w:type="dxa"/>
          </w:tcPr>
          <w:p w14:paraId="474E0748"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+1.511</w:t>
            </w:r>
          </w:p>
        </w:tc>
        <w:tc>
          <w:tcPr>
            <w:tcW w:w="1344" w:type="dxa"/>
          </w:tcPr>
          <w:p w14:paraId="177A312C"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+3.91%</w:t>
            </w:r>
          </w:p>
        </w:tc>
        <w:tc>
          <w:tcPr>
            <w:tcW w:w="1344" w:type="dxa"/>
          </w:tcPr>
          <w:p w14:paraId="45BD1A8F"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-2.43%</w:t>
            </w:r>
          </w:p>
        </w:tc>
        <w:tc>
          <w:tcPr>
            <w:tcW w:w="1344" w:type="dxa"/>
          </w:tcPr>
          <w:p w14:paraId="02B0B4EC"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+2.78%</w:t>
            </w:r>
          </w:p>
        </w:tc>
        <w:tc>
          <w:tcPr>
            <w:tcW w:w="1344" w:type="dxa"/>
          </w:tcPr>
          <w:p w14:paraId="50197476"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1.61</w:t>
            </w:r>
          </w:p>
        </w:tc>
      </w:tr>
      <w:tr w:rsidR="008F5E7F" w14:paraId="7D2D02AE"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37E4665F" w14:textId="77777777" w:rsidR="008F5E7F" w:rsidRDefault="00000000">
            <w:pPr>
              <w:jc w:val="center"/>
            </w:pPr>
            <w:r>
              <w:rPr>
                <w:rFonts w:eastAsia="SimSun"/>
                <w:sz w:val="20"/>
              </w:rPr>
              <w:t>双层 α off</w:t>
            </w:r>
          </w:p>
        </w:tc>
        <w:tc>
          <w:tcPr>
            <w:tcW w:w="1344" w:type="dxa"/>
          </w:tcPr>
          <w:p w14:paraId="50380BEC"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样本外</w:t>
            </w:r>
          </w:p>
        </w:tc>
        <w:tc>
          <w:tcPr>
            <w:tcW w:w="1344" w:type="dxa"/>
          </w:tcPr>
          <w:p w14:paraId="112E4C88"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+3.539</w:t>
            </w:r>
          </w:p>
        </w:tc>
        <w:tc>
          <w:tcPr>
            <w:tcW w:w="1344" w:type="dxa"/>
          </w:tcPr>
          <w:p w14:paraId="383AB12F"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+4.57%</w:t>
            </w:r>
          </w:p>
        </w:tc>
        <w:tc>
          <w:tcPr>
            <w:tcW w:w="1344" w:type="dxa"/>
          </w:tcPr>
          <w:p w14:paraId="3EAC1F42"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-0.38%</w:t>
            </w:r>
          </w:p>
        </w:tc>
        <w:tc>
          <w:tcPr>
            <w:tcW w:w="1344" w:type="dxa"/>
          </w:tcPr>
          <w:p w14:paraId="6C37EFE1"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+1.31%</w:t>
            </w:r>
          </w:p>
        </w:tc>
        <w:tc>
          <w:tcPr>
            <w:tcW w:w="1344" w:type="dxa"/>
          </w:tcPr>
          <w:p w14:paraId="38FA80D3"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12.13</w:t>
            </w:r>
          </w:p>
        </w:tc>
      </w:tr>
      <w:tr w:rsidR="008F5E7F" w14:paraId="3025702C"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2CCB9DB" w14:textId="77777777" w:rsidR="008F5E7F" w:rsidRDefault="00000000">
            <w:pPr>
              <w:jc w:val="center"/>
            </w:pPr>
            <w:r>
              <w:rPr>
                <w:rFonts w:eastAsia="SimSun"/>
                <w:sz w:val="20"/>
              </w:rPr>
              <w:t>双层 α off</w:t>
            </w:r>
          </w:p>
        </w:tc>
        <w:tc>
          <w:tcPr>
            <w:tcW w:w="1344" w:type="dxa"/>
          </w:tcPr>
          <w:p w14:paraId="4302EEEF"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全窗</w:t>
            </w:r>
          </w:p>
        </w:tc>
        <w:tc>
          <w:tcPr>
            <w:tcW w:w="1344" w:type="dxa"/>
          </w:tcPr>
          <w:p w14:paraId="629521A3"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+1.733</w:t>
            </w:r>
          </w:p>
        </w:tc>
        <w:tc>
          <w:tcPr>
            <w:tcW w:w="1344" w:type="dxa"/>
          </w:tcPr>
          <w:p w14:paraId="0E3849C0"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+3.89%</w:t>
            </w:r>
          </w:p>
        </w:tc>
        <w:tc>
          <w:tcPr>
            <w:tcW w:w="1344" w:type="dxa"/>
          </w:tcPr>
          <w:p w14:paraId="207214EE"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-2.43%</w:t>
            </w:r>
          </w:p>
        </w:tc>
        <w:tc>
          <w:tcPr>
            <w:tcW w:w="1344" w:type="dxa"/>
          </w:tcPr>
          <w:p w14:paraId="5399C18E"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+2.48%</w:t>
            </w:r>
          </w:p>
        </w:tc>
        <w:tc>
          <w:tcPr>
            <w:tcW w:w="1344" w:type="dxa"/>
          </w:tcPr>
          <w:p w14:paraId="4CA34F49"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1.60</w:t>
            </w:r>
          </w:p>
        </w:tc>
      </w:tr>
      <w:tr w:rsidR="008F5E7F" w14:paraId="4214F8F6"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74D1ADB" w14:textId="77777777" w:rsidR="008F5E7F" w:rsidRDefault="00000000">
            <w:pPr>
              <w:jc w:val="center"/>
            </w:pPr>
            <w:r>
              <w:rPr>
                <w:rFonts w:eastAsia="SimSun"/>
                <w:sz w:val="20"/>
              </w:rPr>
              <w:t>Layer-1 canonical</w:t>
            </w:r>
          </w:p>
        </w:tc>
        <w:tc>
          <w:tcPr>
            <w:tcW w:w="1344" w:type="dxa"/>
          </w:tcPr>
          <w:p w14:paraId="540C195A"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样本内</w:t>
            </w:r>
          </w:p>
        </w:tc>
        <w:tc>
          <w:tcPr>
            <w:tcW w:w="1344" w:type="dxa"/>
          </w:tcPr>
          <w:p w14:paraId="6F356AB5"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+1.570</w:t>
            </w:r>
          </w:p>
        </w:tc>
        <w:tc>
          <w:tcPr>
            <w:tcW w:w="1344" w:type="dxa"/>
          </w:tcPr>
          <w:p w14:paraId="6F4B99DD"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+4.19%</w:t>
            </w:r>
          </w:p>
        </w:tc>
        <w:tc>
          <w:tcPr>
            <w:tcW w:w="1344" w:type="dxa"/>
          </w:tcPr>
          <w:p w14:paraId="425A93B8"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-2.55%</w:t>
            </w:r>
          </w:p>
        </w:tc>
        <w:tc>
          <w:tcPr>
            <w:tcW w:w="1344" w:type="dxa"/>
          </w:tcPr>
          <w:p w14:paraId="27E1CAFE"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+2.88%</w:t>
            </w:r>
          </w:p>
        </w:tc>
        <w:tc>
          <w:tcPr>
            <w:tcW w:w="1344" w:type="dxa"/>
          </w:tcPr>
          <w:p w14:paraId="1C354140"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1.64</w:t>
            </w:r>
          </w:p>
        </w:tc>
      </w:tr>
      <w:tr w:rsidR="008F5E7F" w14:paraId="19D5E5E7"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399FBE7F" w14:textId="77777777" w:rsidR="008F5E7F" w:rsidRDefault="00000000">
            <w:pPr>
              <w:jc w:val="center"/>
            </w:pPr>
            <w:r>
              <w:rPr>
                <w:rFonts w:eastAsia="SimSun"/>
                <w:sz w:val="20"/>
              </w:rPr>
              <w:t>Layer-1 canonical</w:t>
            </w:r>
          </w:p>
        </w:tc>
        <w:tc>
          <w:tcPr>
            <w:tcW w:w="1344" w:type="dxa"/>
          </w:tcPr>
          <w:p w14:paraId="405BF2C4"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样本外</w:t>
            </w:r>
          </w:p>
        </w:tc>
        <w:tc>
          <w:tcPr>
            <w:tcW w:w="1344" w:type="dxa"/>
          </w:tcPr>
          <w:p w14:paraId="227D20DF"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+3.499</w:t>
            </w:r>
          </w:p>
        </w:tc>
        <w:tc>
          <w:tcPr>
            <w:tcW w:w="1344" w:type="dxa"/>
          </w:tcPr>
          <w:p w14:paraId="3562D26B"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+4.52%</w:t>
            </w:r>
          </w:p>
        </w:tc>
        <w:tc>
          <w:tcPr>
            <w:tcW w:w="1344" w:type="dxa"/>
          </w:tcPr>
          <w:p w14:paraId="2B2F30AF"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-0.38%</w:t>
            </w:r>
          </w:p>
        </w:tc>
        <w:tc>
          <w:tcPr>
            <w:tcW w:w="1344" w:type="dxa"/>
          </w:tcPr>
          <w:p w14:paraId="4C6B6CEF"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+1.31%</w:t>
            </w:r>
          </w:p>
        </w:tc>
        <w:tc>
          <w:tcPr>
            <w:tcW w:w="1344" w:type="dxa"/>
          </w:tcPr>
          <w:p w14:paraId="503EF1FA"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11.75</w:t>
            </w:r>
          </w:p>
        </w:tc>
      </w:tr>
      <w:tr w:rsidR="008F5E7F" w14:paraId="10D03B91"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3DE19FD7" w14:textId="77777777" w:rsidR="008F5E7F" w:rsidRDefault="00000000">
            <w:pPr>
              <w:jc w:val="center"/>
            </w:pPr>
            <w:r>
              <w:rPr>
                <w:rFonts w:eastAsia="SimSun"/>
                <w:sz w:val="20"/>
              </w:rPr>
              <w:t>Layer-1 canonical</w:t>
            </w:r>
          </w:p>
        </w:tc>
        <w:tc>
          <w:tcPr>
            <w:tcW w:w="1344" w:type="dxa"/>
          </w:tcPr>
          <w:p w14:paraId="13BDDB8B"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全窗</w:t>
            </w:r>
          </w:p>
        </w:tc>
        <w:tc>
          <w:tcPr>
            <w:tcW w:w="1344" w:type="dxa"/>
          </w:tcPr>
          <w:p w14:paraId="759C0E34"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+1.765</w:t>
            </w:r>
          </w:p>
        </w:tc>
        <w:tc>
          <w:tcPr>
            <w:tcW w:w="1344" w:type="dxa"/>
          </w:tcPr>
          <w:p w14:paraId="7ED9CF42"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+4.08%</w:t>
            </w:r>
          </w:p>
        </w:tc>
        <w:tc>
          <w:tcPr>
            <w:tcW w:w="1344" w:type="dxa"/>
          </w:tcPr>
          <w:p w14:paraId="04F10640"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-2.55%</w:t>
            </w:r>
          </w:p>
        </w:tc>
        <w:tc>
          <w:tcPr>
            <w:tcW w:w="1344" w:type="dxa"/>
          </w:tcPr>
          <w:p w14:paraId="2D896EB0"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+2.57%</w:t>
            </w:r>
          </w:p>
        </w:tc>
        <w:tc>
          <w:tcPr>
            <w:tcW w:w="1344" w:type="dxa"/>
          </w:tcPr>
          <w:p w14:paraId="0C681A93"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1.60</w:t>
            </w:r>
          </w:p>
        </w:tc>
      </w:tr>
      <w:tr w:rsidR="008F5E7F" w14:paraId="272DC64E"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1F89EC11" w14:textId="77777777" w:rsidR="008F5E7F" w:rsidRDefault="00000000">
            <w:pPr>
              <w:jc w:val="center"/>
            </w:pPr>
            <w:r>
              <w:rPr>
                <w:rFonts w:eastAsia="SimSun"/>
                <w:sz w:val="20"/>
              </w:rPr>
              <w:t>T2 债券 inv-vol</w:t>
            </w:r>
          </w:p>
        </w:tc>
        <w:tc>
          <w:tcPr>
            <w:tcW w:w="1344" w:type="dxa"/>
          </w:tcPr>
          <w:p w14:paraId="0931F91C"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样本内</w:t>
            </w:r>
          </w:p>
        </w:tc>
        <w:tc>
          <w:tcPr>
            <w:tcW w:w="1344" w:type="dxa"/>
          </w:tcPr>
          <w:p w14:paraId="5D2E4BBC"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+1.462</w:t>
            </w:r>
          </w:p>
        </w:tc>
        <w:tc>
          <w:tcPr>
            <w:tcW w:w="1344" w:type="dxa"/>
          </w:tcPr>
          <w:p w14:paraId="541C5DB6"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+2.60%</w:t>
            </w:r>
          </w:p>
        </w:tc>
        <w:tc>
          <w:tcPr>
            <w:tcW w:w="1344" w:type="dxa"/>
          </w:tcPr>
          <w:p w14:paraId="5F43F6F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-4.32%</w:t>
            </w:r>
          </w:p>
        </w:tc>
        <w:tc>
          <w:tcPr>
            <w:tcW w:w="1344" w:type="dxa"/>
          </w:tcPr>
          <w:p w14:paraId="4D66587E"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+1.86%</w:t>
            </w:r>
          </w:p>
        </w:tc>
        <w:tc>
          <w:tcPr>
            <w:tcW w:w="1344" w:type="dxa"/>
          </w:tcPr>
          <w:p w14:paraId="6A5DAFCA"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0.60</w:t>
            </w:r>
          </w:p>
        </w:tc>
      </w:tr>
      <w:tr w:rsidR="008F5E7F" w14:paraId="7E398416"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21D63B9" w14:textId="77777777" w:rsidR="008F5E7F" w:rsidRDefault="00000000">
            <w:pPr>
              <w:jc w:val="center"/>
            </w:pPr>
            <w:r>
              <w:rPr>
                <w:rFonts w:eastAsia="SimSun"/>
                <w:sz w:val="20"/>
              </w:rPr>
              <w:t>T2 债券 inv-vol</w:t>
            </w:r>
          </w:p>
        </w:tc>
        <w:tc>
          <w:tcPr>
            <w:tcW w:w="1344" w:type="dxa"/>
          </w:tcPr>
          <w:p w14:paraId="5C876B53"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样本外</w:t>
            </w:r>
          </w:p>
        </w:tc>
        <w:tc>
          <w:tcPr>
            <w:tcW w:w="1344" w:type="dxa"/>
          </w:tcPr>
          <w:p w14:paraId="522D350E"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+3.770</w:t>
            </w:r>
          </w:p>
        </w:tc>
        <w:tc>
          <w:tcPr>
            <w:tcW w:w="1344" w:type="dxa"/>
          </w:tcPr>
          <w:p w14:paraId="2B593520"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+3.31%</w:t>
            </w:r>
          </w:p>
        </w:tc>
        <w:tc>
          <w:tcPr>
            <w:tcW w:w="1344" w:type="dxa"/>
          </w:tcPr>
          <w:p w14:paraId="1857DAB4"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-0.56%</w:t>
            </w:r>
          </w:p>
        </w:tc>
        <w:tc>
          <w:tcPr>
            <w:tcW w:w="1344" w:type="dxa"/>
          </w:tcPr>
          <w:p w14:paraId="7D6DE934"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+0.89%</w:t>
            </w:r>
          </w:p>
        </w:tc>
        <w:tc>
          <w:tcPr>
            <w:tcW w:w="1344" w:type="dxa"/>
          </w:tcPr>
          <w:p w14:paraId="7C986A78"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5.87</w:t>
            </w:r>
          </w:p>
        </w:tc>
      </w:tr>
      <w:tr w:rsidR="008F5E7F" w14:paraId="4F4918B9"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F8D41FD" w14:textId="77777777" w:rsidR="008F5E7F" w:rsidRDefault="00000000">
            <w:pPr>
              <w:jc w:val="center"/>
            </w:pPr>
            <w:r>
              <w:rPr>
                <w:rFonts w:eastAsia="SimSun"/>
                <w:sz w:val="20"/>
              </w:rPr>
              <w:t>T2 债券 inv-vol</w:t>
            </w:r>
          </w:p>
        </w:tc>
        <w:tc>
          <w:tcPr>
            <w:tcW w:w="1344" w:type="dxa"/>
          </w:tcPr>
          <w:p w14:paraId="69298CCE"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全窗</w:t>
            </w:r>
          </w:p>
        </w:tc>
        <w:tc>
          <w:tcPr>
            <w:tcW w:w="1344" w:type="dxa"/>
          </w:tcPr>
          <w:p w14:paraId="7A0BAB73"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+1.726</w:t>
            </w:r>
          </w:p>
        </w:tc>
        <w:tc>
          <w:tcPr>
            <w:tcW w:w="1344" w:type="dxa"/>
          </w:tcPr>
          <w:p w14:paraId="2CBD5B35"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+2.69%</w:t>
            </w:r>
          </w:p>
        </w:tc>
        <w:tc>
          <w:tcPr>
            <w:tcW w:w="1344" w:type="dxa"/>
          </w:tcPr>
          <w:p w14:paraId="7760C07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-4.32%</w:t>
            </w:r>
          </w:p>
        </w:tc>
        <w:tc>
          <w:tcPr>
            <w:tcW w:w="1344" w:type="dxa"/>
          </w:tcPr>
          <w:p w14:paraId="55C4889E"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+1.67%</w:t>
            </w:r>
          </w:p>
        </w:tc>
        <w:tc>
          <w:tcPr>
            <w:tcW w:w="1344" w:type="dxa"/>
          </w:tcPr>
          <w:p w14:paraId="6FBA0B1C"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0.62</w:t>
            </w:r>
          </w:p>
        </w:tc>
      </w:tr>
      <w:tr w:rsidR="008F5E7F" w14:paraId="07B87E51"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2464C18" w14:textId="77777777" w:rsidR="008F5E7F" w:rsidRDefault="00000000">
            <w:pPr>
              <w:jc w:val="center"/>
            </w:pPr>
            <w:r>
              <w:rPr>
                <w:rFonts w:eastAsia="SimSun"/>
                <w:sz w:val="20"/>
              </w:rPr>
              <w:t>旧版 solo defensive</w:t>
            </w:r>
          </w:p>
        </w:tc>
        <w:tc>
          <w:tcPr>
            <w:tcW w:w="1344" w:type="dxa"/>
          </w:tcPr>
          <w:p w14:paraId="1DE21B39"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样本内</w:t>
            </w:r>
          </w:p>
        </w:tc>
        <w:tc>
          <w:tcPr>
            <w:tcW w:w="1344" w:type="dxa"/>
          </w:tcPr>
          <w:p w14:paraId="063B1FC5"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+0.931</w:t>
            </w:r>
          </w:p>
        </w:tc>
        <w:tc>
          <w:tcPr>
            <w:tcW w:w="1344" w:type="dxa"/>
          </w:tcPr>
          <w:p w14:paraId="253E75AD"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+3.44%</w:t>
            </w:r>
          </w:p>
        </w:tc>
        <w:tc>
          <w:tcPr>
            <w:tcW w:w="1344" w:type="dxa"/>
          </w:tcPr>
          <w:p w14:paraId="68352EA9"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-5.20%</w:t>
            </w:r>
          </w:p>
        </w:tc>
        <w:tc>
          <w:tcPr>
            <w:tcW w:w="1344" w:type="dxa"/>
          </w:tcPr>
          <w:p w14:paraId="5B4BE7CE"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+3.93%</w:t>
            </w:r>
          </w:p>
        </w:tc>
        <w:tc>
          <w:tcPr>
            <w:tcW w:w="1344" w:type="dxa"/>
          </w:tcPr>
          <w:p w14:paraId="0A089E95"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0.66</w:t>
            </w:r>
          </w:p>
        </w:tc>
      </w:tr>
      <w:tr w:rsidR="008F5E7F" w14:paraId="04F27F32"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BD2A824" w14:textId="77777777" w:rsidR="008F5E7F" w:rsidRDefault="00000000">
            <w:pPr>
              <w:jc w:val="center"/>
            </w:pPr>
            <w:r>
              <w:rPr>
                <w:rFonts w:eastAsia="SimSun"/>
                <w:sz w:val="20"/>
              </w:rPr>
              <w:t>旧版 solo defensive</w:t>
            </w:r>
          </w:p>
        </w:tc>
        <w:tc>
          <w:tcPr>
            <w:tcW w:w="1344" w:type="dxa"/>
          </w:tcPr>
          <w:p w14:paraId="6B894830"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样本外</w:t>
            </w:r>
          </w:p>
        </w:tc>
        <w:tc>
          <w:tcPr>
            <w:tcW w:w="1344" w:type="dxa"/>
          </w:tcPr>
          <w:p w14:paraId="0CA354D9"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+2.231</w:t>
            </w:r>
          </w:p>
        </w:tc>
        <w:tc>
          <w:tcPr>
            <w:tcW w:w="1344" w:type="dxa"/>
          </w:tcPr>
          <w:p w14:paraId="70FAC299"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+2.19%</w:t>
            </w:r>
          </w:p>
        </w:tc>
        <w:tc>
          <w:tcPr>
            <w:tcW w:w="1344" w:type="dxa"/>
          </w:tcPr>
          <w:p w14:paraId="5F086982"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-0.78%</w:t>
            </w:r>
          </w:p>
        </w:tc>
        <w:tc>
          <w:tcPr>
            <w:tcW w:w="1344" w:type="dxa"/>
          </w:tcPr>
          <w:p w14:paraId="60C478B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+0.99%</w:t>
            </w:r>
          </w:p>
        </w:tc>
        <w:tc>
          <w:tcPr>
            <w:tcW w:w="1344" w:type="dxa"/>
          </w:tcPr>
          <w:p w14:paraId="6C57F22C"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2.79</w:t>
            </w:r>
          </w:p>
        </w:tc>
      </w:tr>
      <w:tr w:rsidR="008F5E7F" w14:paraId="37A2E99F"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606425B" w14:textId="77777777" w:rsidR="008F5E7F" w:rsidRDefault="00000000">
            <w:pPr>
              <w:jc w:val="center"/>
            </w:pPr>
            <w:r>
              <w:rPr>
                <w:rFonts w:eastAsia="SimSun"/>
                <w:sz w:val="20"/>
              </w:rPr>
              <w:t>旧版 solo defensive</w:t>
            </w:r>
          </w:p>
        </w:tc>
        <w:tc>
          <w:tcPr>
            <w:tcW w:w="1344" w:type="dxa"/>
          </w:tcPr>
          <w:p w14:paraId="192C88CF"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全窗</w:t>
            </w:r>
          </w:p>
        </w:tc>
        <w:tc>
          <w:tcPr>
            <w:tcW w:w="1344" w:type="dxa"/>
          </w:tcPr>
          <w:p w14:paraId="5C892851"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+0.959</w:t>
            </w:r>
          </w:p>
        </w:tc>
        <w:tc>
          <w:tcPr>
            <w:tcW w:w="1344" w:type="dxa"/>
          </w:tcPr>
          <w:p w14:paraId="14DC9155"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+3.04%</w:t>
            </w:r>
          </w:p>
        </w:tc>
        <w:tc>
          <w:tcPr>
            <w:tcW w:w="1344" w:type="dxa"/>
          </w:tcPr>
          <w:p w14:paraId="6CC01E8D"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-5.20%</w:t>
            </w:r>
          </w:p>
        </w:tc>
        <w:tc>
          <w:tcPr>
            <w:tcW w:w="1344" w:type="dxa"/>
          </w:tcPr>
          <w:p w14:paraId="2160FBAA"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+3.42%</w:t>
            </w:r>
          </w:p>
        </w:tc>
        <w:tc>
          <w:tcPr>
            <w:tcW w:w="1344" w:type="dxa"/>
          </w:tcPr>
          <w:p w14:paraId="20A36693"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0.58</w:t>
            </w:r>
          </w:p>
        </w:tc>
      </w:tr>
    </w:tbl>
    <w:p w14:paraId="7FE958E4" w14:textId="77777777" w:rsidR="008F5E7F" w:rsidRDefault="00000000">
      <w:pPr>
        <w:spacing w:after="80" w:line="336" w:lineRule="auto"/>
        <w:ind w:firstLine="454"/>
      </w:pPr>
      <w:r>
        <w:rPr>
          <w:rFonts w:eastAsia="SimSun"/>
        </w:rPr>
        <w:t>读表要点：</w:t>
      </w:r>
    </w:p>
    <w:p w14:paraId="360424C1" w14:textId="77777777" w:rsidR="008F5E7F" w:rsidRDefault="00000000">
      <w:pPr>
        <w:pStyle w:val="ListBullet"/>
        <w:spacing w:after="40" w:line="312" w:lineRule="auto"/>
      </w:pPr>
      <w:r>
        <w:rPr>
          <w:rFonts w:eastAsia="SimSun"/>
        </w:rPr>
        <w:t>双层 q=0.20 ε=0.30 在 OOS 上给出 Sharpe +3.621，CAGR +4.48%，最大回撤仅 -0.36%——OOS Calmar 高达 12.6（回撤面板极浅）。</w:t>
      </w:r>
    </w:p>
    <w:p w14:paraId="5802D89A" w14:textId="77777777" w:rsidR="008F5E7F" w:rsidRDefault="00000000">
      <w:pPr>
        <w:pStyle w:val="ListBullet"/>
        <w:spacing w:after="40" w:line="312" w:lineRule="auto"/>
      </w:pPr>
      <w:r>
        <w:rPr>
          <w:rFonts w:eastAsia="SimSun"/>
        </w:rPr>
        <w:lastRenderedPageBreak/>
        <w:t>双层 q=0.10 ε=0.30 略胜半个 Sharpe：OOS Sharpe +3.657，CAGR +4.54%，说明更集中的 α 选股在 OOS 上也没有明显退化。</w:t>
      </w:r>
    </w:p>
    <w:p w14:paraId="003C79A5" w14:textId="77777777" w:rsidR="008F5E7F" w:rsidRDefault="00000000">
      <w:pPr>
        <w:pStyle w:val="ListBullet"/>
        <w:spacing w:after="40" w:line="312" w:lineRule="auto"/>
      </w:pPr>
      <w:r>
        <w:rPr>
          <w:rFonts w:eastAsia="SimSun"/>
        </w:rPr>
        <w:t>Layer-1 canonical（α off，Sharpe +3.499）是最主要的贡献者，α 层对 OOS 的边际改善约 +0.08 ~ +0.12 Sharpe。</w:t>
      </w:r>
    </w:p>
    <w:p w14:paraId="2B135F6C" w14:textId="77777777" w:rsidR="008F5E7F" w:rsidRDefault="00000000">
      <w:pPr>
        <w:pStyle w:val="ListBullet"/>
        <w:spacing w:after="40" w:line="312" w:lineRule="auto"/>
      </w:pPr>
      <w:r>
        <w:rPr>
          <w:rFonts w:eastAsia="SimSun"/>
        </w:rPr>
        <w:t>T2 债券 inv-vol 单独看 OOS Sharpe +3.770看似最高，但仅债券本身没有 α 层，全窗 Calmar 只有 0.62（DD 侧压力大）。</w:t>
      </w:r>
    </w:p>
    <w:p w14:paraId="214079B8" w14:textId="77777777" w:rsidR="008F5E7F" w:rsidRDefault="00000000">
      <w:pPr>
        <w:jc w:val="center"/>
      </w:pPr>
      <w:r>
        <w:rPr>
          <w:noProof/>
        </w:rPr>
        <w:drawing>
          <wp:inline distT="0" distB="0" distL="0" distR="0" wp14:anchorId="5CC57A57" wp14:editId="1EF335BF">
            <wp:extent cx="5580000" cy="23383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sharpe_windows.png"/>
                    <pic:cNvPicPr/>
                  </pic:nvPicPr>
                  <pic:blipFill>
                    <a:blip r:embed="rId8"/>
                    <a:stretch>
                      <a:fillRect/>
                    </a:stretch>
                  </pic:blipFill>
                  <pic:spPr>
                    <a:xfrm>
                      <a:off x="0" y="0"/>
                      <a:ext cx="5580000" cy="2338324"/>
                    </a:xfrm>
                    <a:prstGeom prst="rect">
                      <a:avLst/>
                    </a:prstGeom>
                  </pic:spPr>
                </pic:pic>
              </a:graphicData>
            </a:graphic>
          </wp:inline>
        </w:drawing>
      </w:r>
    </w:p>
    <w:p w14:paraId="418A54A5" w14:textId="77777777" w:rsidR="008F5E7F" w:rsidRDefault="00000000">
      <w:pPr>
        <w:jc w:val="center"/>
      </w:pPr>
      <w:r>
        <w:rPr>
          <w:rFonts w:eastAsia="SimSun"/>
          <w:color w:val="666666"/>
          <w:sz w:val="18"/>
        </w:rPr>
        <w:t>图 3  六个方案的净夏普：样本内 / 样本外 / 全窗对比</w:t>
      </w:r>
    </w:p>
    <w:p w14:paraId="72DE1EBF" w14:textId="77777777" w:rsidR="008F5E7F" w:rsidRDefault="00000000">
      <w:pPr>
        <w:pStyle w:val="Heading2"/>
      </w:pPr>
      <w:r>
        <w:rPr>
          <w:rFonts w:ascii="SimHei" w:eastAsia="SimHei" w:hAnsi="SimHei"/>
        </w:rPr>
        <w:t>4.2 净值曲线（NAV）</w:t>
      </w:r>
    </w:p>
    <w:p w14:paraId="4E4E794D" w14:textId="77777777" w:rsidR="008F5E7F" w:rsidRDefault="00000000">
      <w:pPr>
        <w:spacing w:after="80" w:line="336" w:lineRule="auto"/>
        <w:ind w:firstLine="454"/>
      </w:pPr>
      <w:r>
        <w:rPr>
          <w:rFonts w:eastAsia="SimSun"/>
        </w:rPr>
        <w:t>把六个方案的净值叠到同一张图上，可以看到：双层 q=0.20 / q=0.10 与 Layer-1 canonical 三条曲线整体走势非常接近，在 α 层激活的 2021 / 2023 年小幅拉开；旧版 solo defensive 曲线明显低一档，尤其 2020 疫情年一次深度回撤后再没能追上。</w:t>
      </w:r>
    </w:p>
    <w:p w14:paraId="339058D0" w14:textId="77777777" w:rsidR="008F5E7F" w:rsidRDefault="00000000">
      <w:pPr>
        <w:jc w:val="center"/>
      </w:pPr>
      <w:r>
        <w:rPr>
          <w:noProof/>
        </w:rPr>
        <w:drawing>
          <wp:inline distT="0" distB="0" distL="0" distR="0" wp14:anchorId="7361A791" wp14:editId="046654F3">
            <wp:extent cx="5580000" cy="26476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nav_all.png"/>
                    <pic:cNvPicPr/>
                  </pic:nvPicPr>
                  <pic:blipFill>
                    <a:blip r:embed="rId9"/>
                    <a:stretch>
                      <a:fillRect/>
                    </a:stretch>
                  </pic:blipFill>
                  <pic:spPr>
                    <a:xfrm>
                      <a:off x="0" y="0"/>
                      <a:ext cx="5580000" cy="2647676"/>
                    </a:xfrm>
                    <a:prstGeom prst="rect">
                      <a:avLst/>
                    </a:prstGeom>
                  </pic:spPr>
                </pic:pic>
              </a:graphicData>
            </a:graphic>
          </wp:inline>
        </w:drawing>
      </w:r>
    </w:p>
    <w:p w14:paraId="43ABF53C" w14:textId="77777777" w:rsidR="008F5E7F" w:rsidRDefault="00000000">
      <w:pPr>
        <w:jc w:val="center"/>
      </w:pPr>
      <w:r>
        <w:rPr>
          <w:rFonts w:eastAsia="SimSun"/>
          <w:color w:val="666666"/>
          <w:sz w:val="18"/>
        </w:rPr>
        <w:t>图 4  六个方案的净值曲线（自共同起点起，含成本）</w:t>
      </w:r>
    </w:p>
    <w:p w14:paraId="36EBD830" w14:textId="77777777" w:rsidR="008F5E7F" w:rsidRDefault="00000000">
      <w:pPr>
        <w:spacing w:after="80" w:line="336" w:lineRule="auto"/>
        <w:ind w:firstLine="454"/>
      </w:pPr>
      <w:r>
        <w:rPr>
          <w:rFonts w:eastAsia="SimSun"/>
        </w:rPr>
        <w:lastRenderedPageBreak/>
        <w:t>把窗口拉近到 OOS 内，可以看到双层结构 + Layer-1 canonical 在 2024 全年的爬升几乎与债券 T2 平行，而在 2025 年上半年略胜一筹；旧版 solo defensive 在 OOS 内的斜率明显低于另外五个方案，这与它 OOS Sharpe 只有 +2.23 的分数一致。</w:t>
      </w:r>
    </w:p>
    <w:p w14:paraId="10D177AA" w14:textId="77777777" w:rsidR="008F5E7F" w:rsidRDefault="00000000">
      <w:pPr>
        <w:jc w:val="center"/>
      </w:pPr>
      <w:r>
        <w:rPr>
          <w:noProof/>
        </w:rPr>
        <w:drawing>
          <wp:inline distT="0" distB="0" distL="0" distR="0" wp14:anchorId="64D597B6" wp14:editId="712A0C1D">
            <wp:extent cx="5580000" cy="264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nav_oos.png"/>
                    <pic:cNvPicPr/>
                  </pic:nvPicPr>
                  <pic:blipFill>
                    <a:blip r:embed="rId10"/>
                    <a:stretch>
                      <a:fillRect/>
                    </a:stretch>
                  </pic:blipFill>
                  <pic:spPr>
                    <a:xfrm>
                      <a:off x="0" y="0"/>
                      <a:ext cx="5580000" cy="2645300"/>
                    </a:xfrm>
                    <a:prstGeom prst="rect">
                      <a:avLst/>
                    </a:prstGeom>
                  </pic:spPr>
                </pic:pic>
              </a:graphicData>
            </a:graphic>
          </wp:inline>
        </w:drawing>
      </w:r>
    </w:p>
    <w:p w14:paraId="4EE88082" w14:textId="77777777" w:rsidR="008F5E7F" w:rsidRDefault="00000000">
      <w:pPr>
        <w:jc w:val="center"/>
      </w:pPr>
      <w:r>
        <w:rPr>
          <w:rFonts w:eastAsia="SimSun"/>
          <w:color w:val="666666"/>
          <w:sz w:val="18"/>
        </w:rPr>
        <w:t>图 5  样本外净值：2024-01-01 → 2025-07-31</w:t>
      </w:r>
    </w:p>
    <w:p w14:paraId="4896ED91" w14:textId="77777777" w:rsidR="008F5E7F" w:rsidRDefault="00000000">
      <w:pPr>
        <w:pStyle w:val="Heading2"/>
      </w:pPr>
      <w:r>
        <w:rPr>
          <w:rFonts w:ascii="SimHei" w:eastAsia="SimHei" w:hAnsi="SimHei"/>
        </w:rPr>
        <w:t>4.3 回撤曲线</w:t>
      </w:r>
    </w:p>
    <w:p w14:paraId="6124B48E" w14:textId="77777777" w:rsidR="008F5E7F" w:rsidRDefault="00000000">
      <w:pPr>
        <w:spacing w:after="80" w:line="336" w:lineRule="auto"/>
        <w:ind w:firstLine="454"/>
      </w:pPr>
      <w:r>
        <w:rPr>
          <w:rFonts w:eastAsia="SimSun"/>
        </w:rPr>
        <w:t>回撤面板则更清楚地显示了 Layer-1 组间风险预算的价值：三个含 Layer-1 的方案（双层 q20 / q10 + Layer-1 canonical）在整个样本期回撤都被压在 −2.6% 以内；T2 债券本身的最大回撤 −4.32%，主要发生在 2022 年信用债回调期；旧版 solo defensive 的 −5.20% 深度回撤集中在 2020 疫情年，之后有较长的水下期。</w:t>
      </w:r>
    </w:p>
    <w:p w14:paraId="582FA678" w14:textId="77777777" w:rsidR="008F5E7F" w:rsidRDefault="00000000">
      <w:pPr>
        <w:jc w:val="center"/>
      </w:pPr>
      <w:r>
        <w:rPr>
          <w:noProof/>
        </w:rPr>
        <w:drawing>
          <wp:inline distT="0" distB="0" distL="0" distR="0" wp14:anchorId="751F9D0F" wp14:editId="58D93146">
            <wp:extent cx="5580000" cy="2645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d_all.png"/>
                    <pic:cNvPicPr/>
                  </pic:nvPicPr>
                  <pic:blipFill>
                    <a:blip r:embed="rId11"/>
                    <a:stretch>
                      <a:fillRect/>
                    </a:stretch>
                  </pic:blipFill>
                  <pic:spPr>
                    <a:xfrm>
                      <a:off x="0" y="0"/>
                      <a:ext cx="5580000" cy="2645300"/>
                    </a:xfrm>
                    <a:prstGeom prst="rect">
                      <a:avLst/>
                    </a:prstGeom>
                  </pic:spPr>
                </pic:pic>
              </a:graphicData>
            </a:graphic>
          </wp:inline>
        </w:drawing>
      </w:r>
    </w:p>
    <w:p w14:paraId="37121F3D" w14:textId="77777777" w:rsidR="008F5E7F" w:rsidRDefault="00000000">
      <w:pPr>
        <w:jc w:val="center"/>
      </w:pPr>
      <w:r>
        <w:rPr>
          <w:rFonts w:eastAsia="SimSun"/>
          <w:color w:val="666666"/>
          <w:sz w:val="18"/>
        </w:rPr>
        <w:t>图 6  六个方案的回撤路径（相对历史高点）</w:t>
      </w:r>
    </w:p>
    <w:p w14:paraId="4D45323D" w14:textId="77777777" w:rsidR="008F5E7F" w:rsidRDefault="00000000">
      <w:pPr>
        <w:spacing w:after="80" w:line="336" w:lineRule="auto"/>
        <w:ind w:firstLine="454"/>
      </w:pPr>
      <w:r>
        <w:rPr>
          <w:rFonts w:eastAsia="SimSun"/>
        </w:rPr>
        <w:lastRenderedPageBreak/>
        <w:t>OOS 内所有六个方案的最大回撤都不超过 −1%，且集中在 2025 年 4 月一次共同回撤——但双层结构的回撤深度比 T2 债券更浅（−0.36% vs −0.56%），说明 α 层在 OOS 内没有引入额外的 tail risk。</w:t>
      </w:r>
    </w:p>
    <w:p w14:paraId="72A52825" w14:textId="77777777" w:rsidR="008F5E7F" w:rsidRDefault="00000000">
      <w:pPr>
        <w:jc w:val="center"/>
      </w:pPr>
      <w:r>
        <w:rPr>
          <w:noProof/>
        </w:rPr>
        <w:drawing>
          <wp:inline distT="0" distB="0" distL="0" distR="0" wp14:anchorId="1F4428C4" wp14:editId="14DCB4FB">
            <wp:extent cx="5580000" cy="2645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dd_oos.png"/>
                    <pic:cNvPicPr/>
                  </pic:nvPicPr>
                  <pic:blipFill>
                    <a:blip r:embed="rId12"/>
                    <a:stretch>
                      <a:fillRect/>
                    </a:stretch>
                  </pic:blipFill>
                  <pic:spPr>
                    <a:xfrm>
                      <a:off x="0" y="0"/>
                      <a:ext cx="5580000" cy="2645300"/>
                    </a:xfrm>
                    <a:prstGeom prst="rect">
                      <a:avLst/>
                    </a:prstGeom>
                  </pic:spPr>
                </pic:pic>
              </a:graphicData>
            </a:graphic>
          </wp:inline>
        </w:drawing>
      </w:r>
    </w:p>
    <w:p w14:paraId="4502196A" w14:textId="77777777" w:rsidR="008F5E7F" w:rsidRDefault="00000000">
      <w:pPr>
        <w:jc w:val="center"/>
      </w:pPr>
      <w:r>
        <w:rPr>
          <w:rFonts w:eastAsia="SimSun"/>
          <w:color w:val="666666"/>
          <w:sz w:val="18"/>
        </w:rPr>
        <w:t>图 7  样本外回撤路径</w:t>
      </w:r>
    </w:p>
    <w:p w14:paraId="7C95C8A7" w14:textId="77777777" w:rsidR="008F5E7F" w:rsidRDefault="00000000">
      <w:pPr>
        <w:pStyle w:val="Heading2"/>
      </w:pPr>
      <w:r>
        <w:rPr>
          <w:rFonts w:ascii="SimHei" w:eastAsia="SimHei" w:hAnsi="SimHei"/>
        </w:rPr>
        <w:t>4.4 CAGR 与最大回撤 bar chart</w:t>
      </w:r>
    </w:p>
    <w:p w14:paraId="193FA402" w14:textId="77777777" w:rsidR="008F5E7F" w:rsidRDefault="00000000">
      <w:pPr>
        <w:jc w:val="center"/>
      </w:pPr>
      <w:r>
        <w:rPr>
          <w:noProof/>
        </w:rPr>
        <w:drawing>
          <wp:inline distT="0" distB="0" distL="0" distR="0" wp14:anchorId="7217C97D" wp14:editId="1599A51E">
            <wp:extent cx="5580000" cy="25542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agr.png"/>
                    <pic:cNvPicPr/>
                  </pic:nvPicPr>
                  <pic:blipFill>
                    <a:blip r:embed="rId13"/>
                    <a:stretch>
                      <a:fillRect/>
                    </a:stretch>
                  </pic:blipFill>
                  <pic:spPr>
                    <a:xfrm>
                      <a:off x="0" y="0"/>
                      <a:ext cx="5580000" cy="2554258"/>
                    </a:xfrm>
                    <a:prstGeom prst="rect">
                      <a:avLst/>
                    </a:prstGeom>
                  </pic:spPr>
                </pic:pic>
              </a:graphicData>
            </a:graphic>
          </wp:inline>
        </w:drawing>
      </w:r>
    </w:p>
    <w:p w14:paraId="3983A570" w14:textId="77777777" w:rsidR="008F5E7F" w:rsidRDefault="00000000">
      <w:pPr>
        <w:jc w:val="center"/>
      </w:pPr>
      <w:r>
        <w:rPr>
          <w:rFonts w:eastAsia="SimSun"/>
          <w:color w:val="666666"/>
          <w:sz w:val="18"/>
        </w:rPr>
        <w:t>图 8  六个方案的全窗 CAGR</w:t>
      </w:r>
    </w:p>
    <w:p w14:paraId="0A6E82D2" w14:textId="77777777" w:rsidR="008F5E7F" w:rsidRDefault="00000000">
      <w:pPr>
        <w:jc w:val="center"/>
      </w:pPr>
      <w:r>
        <w:rPr>
          <w:noProof/>
        </w:rPr>
        <w:lastRenderedPageBreak/>
        <w:drawing>
          <wp:inline distT="0" distB="0" distL="0" distR="0" wp14:anchorId="4260282B" wp14:editId="7DF1E344">
            <wp:extent cx="5580000" cy="25542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maxdd.png"/>
                    <pic:cNvPicPr/>
                  </pic:nvPicPr>
                  <pic:blipFill>
                    <a:blip r:embed="rId14"/>
                    <a:stretch>
                      <a:fillRect/>
                    </a:stretch>
                  </pic:blipFill>
                  <pic:spPr>
                    <a:xfrm>
                      <a:off x="0" y="0"/>
                      <a:ext cx="5580000" cy="2554258"/>
                    </a:xfrm>
                    <a:prstGeom prst="rect">
                      <a:avLst/>
                    </a:prstGeom>
                  </pic:spPr>
                </pic:pic>
              </a:graphicData>
            </a:graphic>
          </wp:inline>
        </w:drawing>
      </w:r>
    </w:p>
    <w:p w14:paraId="4C9D708E" w14:textId="77777777" w:rsidR="008F5E7F" w:rsidRDefault="00000000">
      <w:pPr>
        <w:jc w:val="center"/>
      </w:pPr>
      <w:r>
        <w:rPr>
          <w:rFonts w:eastAsia="SimSun"/>
          <w:color w:val="666666"/>
          <w:sz w:val="18"/>
        </w:rPr>
        <w:t>图 9  六个方案的全窗最大回撤</w:t>
      </w:r>
    </w:p>
    <w:p w14:paraId="4EF3CF40" w14:textId="77777777" w:rsidR="008F5E7F" w:rsidRDefault="00000000">
      <w:pPr>
        <w:pStyle w:val="Heading2"/>
      </w:pPr>
      <w:r>
        <w:rPr>
          <w:rFonts w:ascii="SimHei" w:eastAsia="SimHei" w:hAnsi="SimHei"/>
        </w:rPr>
        <w:t>4.5 Calmar 比率</w:t>
      </w:r>
    </w:p>
    <w:p w14:paraId="7A62B804" w14:textId="77777777" w:rsidR="008F5E7F" w:rsidRDefault="00000000">
      <w:pPr>
        <w:spacing w:after="80" w:line="336" w:lineRule="auto"/>
        <w:ind w:firstLine="454"/>
      </w:pPr>
      <w:r>
        <w:rPr>
          <w:rFonts w:eastAsia="SimSun"/>
        </w:rPr>
        <w:t>Calmar = CAGR / |Max DD| 是把 CAGR 与最大回撤合成的单一评估指标。全窗层面，双层 q=0.20 / q=0.10 与 Layer-1 canonical 均在 1.60 附近；T2 债券 0.62；旧版 solo defensive 只有 0.58。双层结构相较 solo defensive 全窗 Calmar 抬升了约 1.03——即“同样级别的 CAGR 换到浅得多的回撤”。</w:t>
      </w:r>
    </w:p>
    <w:p w14:paraId="383A75A1" w14:textId="77777777" w:rsidR="008F5E7F" w:rsidRDefault="00000000">
      <w:pPr>
        <w:jc w:val="center"/>
      </w:pPr>
      <w:r>
        <w:rPr>
          <w:noProof/>
        </w:rPr>
        <w:drawing>
          <wp:inline distT="0" distB="0" distL="0" distR="0" wp14:anchorId="43A8AC40" wp14:editId="38E4F987">
            <wp:extent cx="5580000" cy="25588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calmar.png"/>
                    <pic:cNvPicPr/>
                  </pic:nvPicPr>
                  <pic:blipFill>
                    <a:blip r:embed="rId15"/>
                    <a:stretch>
                      <a:fillRect/>
                    </a:stretch>
                  </pic:blipFill>
                  <pic:spPr>
                    <a:xfrm>
                      <a:off x="0" y="0"/>
                      <a:ext cx="5580000" cy="2558835"/>
                    </a:xfrm>
                    <a:prstGeom prst="rect">
                      <a:avLst/>
                    </a:prstGeom>
                  </pic:spPr>
                </pic:pic>
              </a:graphicData>
            </a:graphic>
          </wp:inline>
        </w:drawing>
      </w:r>
    </w:p>
    <w:p w14:paraId="35BF64DA" w14:textId="77777777" w:rsidR="008F5E7F" w:rsidRDefault="00000000">
      <w:pPr>
        <w:jc w:val="center"/>
      </w:pPr>
      <w:r>
        <w:rPr>
          <w:rFonts w:eastAsia="SimSun"/>
          <w:color w:val="666666"/>
          <w:sz w:val="18"/>
        </w:rPr>
        <w:t>图 10  全窗 Calmar 比率对比</w:t>
      </w:r>
    </w:p>
    <w:p w14:paraId="0A8CBDFD" w14:textId="77777777" w:rsidR="008F5E7F" w:rsidRDefault="00000000">
      <w:pPr>
        <w:pStyle w:val="Heading2"/>
      </w:pPr>
      <w:r>
        <w:rPr>
          <w:rFonts w:ascii="SimHei" w:eastAsia="SimHei" w:hAnsi="SimHei"/>
        </w:rPr>
        <w:t>4.6 α 层对 OOS 的边际贡献（Δ vs 双层 α off）</w:t>
      </w:r>
    </w:p>
    <w:p w14:paraId="54614EA1" w14:textId="77777777" w:rsidR="008F5E7F" w:rsidRDefault="00000000">
      <w:pPr>
        <w:spacing w:after="80" w:line="336" w:lineRule="auto"/>
        <w:ind w:firstLine="454"/>
      </w:pPr>
      <w:r>
        <w:rPr>
          <w:rFonts w:eastAsia="SimSun"/>
        </w:rPr>
        <w:t>以 two_layer_baseline（同一双层结构、α 关掉）为对照，双层 α on 的贡献可以干净地读出。</w:t>
      </w:r>
    </w:p>
    <w:tbl>
      <w:tblPr>
        <w:tblStyle w:val="LightGrid-Accent1"/>
        <w:tblW w:w="0" w:type="auto"/>
        <w:jc w:val="center"/>
        <w:tblLook w:val="04A0" w:firstRow="1" w:lastRow="0" w:firstColumn="1" w:lastColumn="0" w:noHBand="0" w:noVBand="1"/>
      </w:tblPr>
      <w:tblGrid>
        <w:gridCol w:w="1568"/>
        <w:gridCol w:w="1568"/>
        <w:gridCol w:w="1568"/>
        <w:gridCol w:w="1568"/>
        <w:gridCol w:w="1568"/>
        <w:gridCol w:w="1568"/>
      </w:tblGrid>
      <w:tr w:rsidR="008F5E7F" w14:paraId="17DFCE12" w14:textId="77777777" w:rsidTr="008F5E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34124769" w14:textId="77777777" w:rsidR="008F5E7F" w:rsidRDefault="00000000">
            <w:pPr>
              <w:jc w:val="center"/>
            </w:pPr>
            <w:r>
              <w:rPr>
                <w:rFonts w:eastAsia="SimSun"/>
                <w:sz w:val="20"/>
              </w:rPr>
              <w:t>书</w:t>
            </w:r>
          </w:p>
        </w:tc>
        <w:tc>
          <w:tcPr>
            <w:tcW w:w="1568" w:type="dxa"/>
          </w:tcPr>
          <w:p w14:paraId="3C4A6794"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Δ Sharpe IS</w:t>
            </w:r>
          </w:p>
        </w:tc>
        <w:tc>
          <w:tcPr>
            <w:tcW w:w="1568" w:type="dxa"/>
          </w:tcPr>
          <w:p w14:paraId="0D7469D7"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Δ Sharpe OOS</w:t>
            </w:r>
          </w:p>
        </w:tc>
        <w:tc>
          <w:tcPr>
            <w:tcW w:w="1568" w:type="dxa"/>
          </w:tcPr>
          <w:p w14:paraId="460D251D"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Δ CAGR IS</w:t>
            </w:r>
          </w:p>
        </w:tc>
        <w:tc>
          <w:tcPr>
            <w:tcW w:w="1568" w:type="dxa"/>
          </w:tcPr>
          <w:p w14:paraId="0155925F"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Δ CAGR OOS</w:t>
            </w:r>
          </w:p>
        </w:tc>
        <w:tc>
          <w:tcPr>
            <w:tcW w:w="1568" w:type="dxa"/>
          </w:tcPr>
          <w:p w14:paraId="4ADCE8E7"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Δ DD OOS</w:t>
            </w:r>
          </w:p>
        </w:tc>
      </w:tr>
      <w:tr w:rsidR="008F5E7F" w14:paraId="653179A2"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7FF159E8" w14:textId="77777777" w:rsidR="008F5E7F" w:rsidRDefault="00000000">
            <w:pPr>
              <w:jc w:val="center"/>
            </w:pPr>
            <w:r>
              <w:rPr>
                <w:rFonts w:eastAsia="SimSun"/>
                <w:sz w:val="20"/>
              </w:rPr>
              <w:lastRenderedPageBreak/>
              <w:t>双层 q=0.20 ε=0.30</w:t>
            </w:r>
          </w:p>
        </w:tc>
        <w:tc>
          <w:tcPr>
            <w:tcW w:w="1568" w:type="dxa"/>
          </w:tcPr>
          <w:p w14:paraId="69132386"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+0.066</w:t>
            </w:r>
          </w:p>
        </w:tc>
        <w:tc>
          <w:tcPr>
            <w:tcW w:w="1568" w:type="dxa"/>
          </w:tcPr>
          <w:p w14:paraId="1E46AA7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+0.082</w:t>
            </w:r>
          </w:p>
        </w:tc>
        <w:tc>
          <w:tcPr>
            <w:tcW w:w="1568" w:type="dxa"/>
          </w:tcPr>
          <w:p w14:paraId="18066875"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+0.33 pp</w:t>
            </w:r>
          </w:p>
        </w:tc>
        <w:tc>
          <w:tcPr>
            <w:tcW w:w="1568" w:type="dxa"/>
          </w:tcPr>
          <w:p w14:paraId="48E20015"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-0.09 pp</w:t>
            </w:r>
          </w:p>
        </w:tc>
        <w:tc>
          <w:tcPr>
            <w:tcW w:w="1568" w:type="dxa"/>
          </w:tcPr>
          <w:p w14:paraId="212A0C95"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+0.02 pp</w:t>
            </w:r>
          </w:p>
        </w:tc>
      </w:tr>
      <w:tr w:rsidR="008F5E7F" w14:paraId="393ADC83"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36141CF6" w14:textId="77777777" w:rsidR="008F5E7F" w:rsidRDefault="00000000">
            <w:pPr>
              <w:jc w:val="center"/>
            </w:pPr>
            <w:r>
              <w:rPr>
                <w:rFonts w:eastAsia="SimSun"/>
                <w:sz w:val="20"/>
              </w:rPr>
              <w:t>双层 q=0.10 ε=0.30</w:t>
            </w:r>
          </w:p>
        </w:tc>
        <w:tc>
          <w:tcPr>
            <w:tcW w:w="1568" w:type="dxa"/>
          </w:tcPr>
          <w:p w14:paraId="3CA7CC6E"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+0.115</w:t>
            </w:r>
          </w:p>
        </w:tc>
        <w:tc>
          <w:tcPr>
            <w:tcW w:w="1568" w:type="dxa"/>
          </w:tcPr>
          <w:p w14:paraId="0C5A613F"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+0.118</w:t>
            </w:r>
          </w:p>
        </w:tc>
        <w:tc>
          <w:tcPr>
            <w:tcW w:w="1568" w:type="dxa"/>
          </w:tcPr>
          <w:p w14:paraId="025153BB"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+0.53 pp</w:t>
            </w:r>
          </w:p>
        </w:tc>
        <w:tc>
          <w:tcPr>
            <w:tcW w:w="1568" w:type="dxa"/>
          </w:tcPr>
          <w:p w14:paraId="0505D600"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-0.03 pp</w:t>
            </w:r>
          </w:p>
        </w:tc>
        <w:tc>
          <w:tcPr>
            <w:tcW w:w="1568" w:type="dxa"/>
          </w:tcPr>
          <w:p w14:paraId="4BEF5FCB"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+0.00 pp</w:t>
            </w:r>
          </w:p>
        </w:tc>
      </w:tr>
      <w:tr w:rsidR="008F5E7F" w14:paraId="4B2DBA6B"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222A63C2" w14:textId="77777777" w:rsidR="008F5E7F" w:rsidRDefault="00000000">
            <w:pPr>
              <w:jc w:val="center"/>
            </w:pPr>
            <w:r>
              <w:rPr>
                <w:rFonts w:eastAsia="SimSun"/>
                <w:sz w:val="20"/>
              </w:rPr>
              <w:t>Layer-1 canonical</w:t>
            </w:r>
          </w:p>
        </w:tc>
        <w:tc>
          <w:tcPr>
            <w:tcW w:w="1568" w:type="dxa"/>
          </w:tcPr>
          <w:p w14:paraId="4F41DEF8"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+0.060</w:t>
            </w:r>
          </w:p>
        </w:tc>
        <w:tc>
          <w:tcPr>
            <w:tcW w:w="1568" w:type="dxa"/>
          </w:tcPr>
          <w:p w14:paraId="2D13B39A"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-0.040</w:t>
            </w:r>
          </w:p>
        </w:tc>
        <w:tc>
          <w:tcPr>
            <w:tcW w:w="1568" w:type="dxa"/>
          </w:tcPr>
          <w:p w14:paraId="67DDD6D0"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+0.28 pp</w:t>
            </w:r>
          </w:p>
        </w:tc>
        <w:tc>
          <w:tcPr>
            <w:tcW w:w="1568" w:type="dxa"/>
          </w:tcPr>
          <w:p w14:paraId="4486C86C"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-0.05 pp</w:t>
            </w:r>
          </w:p>
        </w:tc>
        <w:tc>
          <w:tcPr>
            <w:tcW w:w="1568" w:type="dxa"/>
          </w:tcPr>
          <w:p w14:paraId="01C3AF6E"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-0.01 pp</w:t>
            </w:r>
          </w:p>
        </w:tc>
      </w:tr>
      <w:tr w:rsidR="008F5E7F" w14:paraId="3EC6A619"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34558233" w14:textId="77777777" w:rsidR="008F5E7F" w:rsidRDefault="00000000">
            <w:pPr>
              <w:jc w:val="center"/>
            </w:pPr>
            <w:r>
              <w:rPr>
                <w:rFonts w:eastAsia="SimSun"/>
                <w:sz w:val="20"/>
              </w:rPr>
              <w:t>T2 债券 inv-vol</w:t>
            </w:r>
          </w:p>
        </w:tc>
        <w:tc>
          <w:tcPr>
            <w:tcW w:w="1568" w:type="dxa"/>
          </w:tcPr>
          <w:p w14:paraId="4F70BB83"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-0.049</w:t>
            </w:r>
          </w:p>
        </w:tc>
        <w:tc>
          <w:tcPr>
            <w:tcW w:w="1568" w:type="dxa"/>
          </w:tcPr>
          <w:p w14:paraId="32D67A64"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+0.231</w:t>
            </w:r>
          </w:p>
        </w:tc>
        <w:tc>
          <w:tcPr>
            <w:tcW w:w="1568" w:type="dxa"/>
          </w:tcPr>
          <w:p w14:paraId="69221416"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-1.31 pp</w:t>
            </w:r>
          </w:p>
        </w:tc>
        <w:tc>
          <w:tcPr>
            <w:tcW w:w="1568" w:type="dxa"/>
          </w:tcPr>
          <w:p w14:paraId="5B696DF3"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-1.26 pp</w:t>
            </w:r>
          </w:p>
        </w:tc>
        <w:tc>
          <w:tcPr>
            <w:tcW w:w="1568" w:type="dxa"/>
          </w:tcPr>
          <w:p w14:paraId="76ABFAEF"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-0.19 pp</w:t>
            </w:r>
          </w:p>
        </w:tc>
      </w:tr>
    </w:tbl>
    <w:p w14:paraId="65DEEFE9" w14:textId="77777777" w:rsidR="008F5E7F" w:rsidRDefault="00000000">
      <w:pPr>
        <w:spacing w:after="80" w:line="336" w:lineRule="auto"/>
        <w:ind w:firstLine="454"/>
      </w:pPr>
      <w:r>
        <w:rPr>
          <w:rFonts w:eastAsia="SimSun"/>
        </w:rPr>
        <w:t>两条读数：（1）α 层 OOS 的 Sharpe Δ 为 +0.082（q20）与 +0.118（q10），IS 上的 Δ +0.066 与 +0.115 相当——OOS 与 IS 保持相似量级，边际信号 hold up。（2）Layer-1 canonical 与 two_layer_baseline 的差异极小（Δ Sharpe OOS −0.04），验证了 §3 的一致性——α off 的双层与 Layer-1 canonical 数值等价。</w:t>
      </w:r>
    </w:p>
    <w:p w14:paraId="34A6ADE3" w14:textId="77777777" w:rsidR="008F5E7F" w:rsidRDefault="00000000">
      <w:pPr>
        <w:pStyle w:val="Heading2"/>
      </w:pPr>
      <w:r>
        <w:rPr>
          <w:rFonts w:ascii="SimHei" w:eastAsia="SimHei" w:hAnsi="SimHei"/>
        </w:rPr>
        <w:t>4.7 实际组间持仓 vs 政策风险预算</w:t>
      </w:r>
    </w:p>
    <w:p w14:paraId="7969BB0C" w14:textId="77777777" w:rsidR="008F5E7F" w:rsidRDefault="00000000">
      <w:pPr>
        <w:spacing w:after="80" w:line="336" w:lineRule="auto"/>
        <w:ind w:firstLine="454"/>
      </w:pPr>
      <w:r>
        <w:rPr>
          <w:rFonts w:eastAsia="SimSun"/>
        </w:rPr>
        <w:t>Layer-1 的政策目标（equity 55% / bond_rates 20% / bond_credit 10% / commodity 15%）指的是**风险贡献占比**，不是资本权重。LW-ERC 求解器把每组的 Σ w_b·(Σw)_b 精确匹配到政策目标——下图直接把每周的实际风险贡献 RC% 和政策目标叠加：</w:t>
      </w:r>
    </w:p>
    <w:p w14:paraId="6839B68A" w14:textId="77777777" w:rsidR="008F5E7F" w:rsidRDefault="00000000">
      <w:pPr>
        <w:jc w:val="center"/>
      </w:pPr>
      <w:r>
        <w:rPr>
          <w:noProof/>
        </w:rPr>
        <w:drawing>
          <wp:inline distT="0" distB="0" distL="0" distR="0" wp14:anchorId="4345878F" wp14:editId="5D6E58C8">
            <wp:extent cx="5580000" cy="24255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rc_check.png"/>
                    <pic:cNvPicPr/>
                  </pic:nvPicPr>
                  <pic:blipFill>
                    <a:blip r:embed="rId16"/>
                    <a:stretch>
                      <a:fillRect/>
                    </a:stretch>
                  </pic:blipFill>
                  <pic:spPr>
                    <a:xfrm>
                      <a:off x="0" y="0"/>
                      <a:ext cx="5580000" cy="2425521"/>
                    </a:xfrm>
                    <a:prstGeom prst="rect">
                      <a:avLst/>
                    </a:prstGeom>
                  </pic:spPr>
                </pic:pic>
              </a:graphicData>
            </a:graphic>
          </wp:inline>
        </w:drawing>
      </w:r>
    </w:p>
    <w:p w14:paraId="091CBDA7" w14:textId="77777777" w:rsidR="008F5E7F" w:rsidRDefault="00000000">
      <w:pPr>
        <w:jc w:val="center"/>
      </w:pPr>
      <w:r>
        <w:rPr>
          <w:rFonts w:eastAsia="SimSun"/>
          <w:color w:val="666666"/>
          <w:sz w:val="18"/>
        </w:rPr>
        <w:t>图 12  Layer-1 求解器校验：实际 RC% 严格等于政策目标 55/20/10/15</w:t>
      </w:r>
    </w:p>
    <w:p w14:paraId="2EA46A43" w14:textId="77777777" w:rsidR="008F5E7F" w:rsidRDefault="00000000">
      <w:pPr>
        <w:spacing w:after="80" w:line="336" w:lineRule="auto"/>
        <w:ind w:firstLine="454"/>
      </w:pPr>
      <w:r>
        <w:rPr>
          <w:rFonts w:eastAsia="SimSun"/>
        </w:rPr>
        <w:t>由于权益的年化 σ（≈13%）显著高于债券（≈2–3%）与商品（≈8–12%），让权益贡献 55% 的风险只需要 10% 左右的资本权重；对应地，利率债的资本权重会被抬到 60% 附近。以落地方案 q=0.20、ε=0.30 为例：</w:t>
      </w:r>
    </w:p>
    <w:p w14:paraId="748D67D3" w14:textId="77777777" w:rsidR="008F5E7F" w:rsidRDefault="00000000">
      <w:pPr>
        <w:jc w:val="center"/>
      </w:pPr>
      <w:r>
        <w:rPr>
          <w:noProof/>
        </w:rPr>
        <w:lastRenderedPageBreak/>
        <w:drawing>
          <wp:inline distT="0" distB="0" distL="0" distR="0" wp14:anchorId="6D50D6B5" wp14:editId="5149C6BA">
            <wp:extent cx="5580000" cy="267584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policy_vs_capital.png"/>
                    <pic:cNvPicPr/>
                  </pic:nvPicPr>
                  <pic:blipFill>
                    <a:blip r:embed="rId17"/>
                    <a:stretch>
                      <a:fillRect/>
                    </a:stretch>
                  </pic:blipFill>
                  <pic:spPr>
                    <a:xfrm>
                      <a:off x="0" y="0"/>
                      <a:ext cx="5580000" cy="2675842"/>
                    </a:xfrm>
                    <a:prstGeom prst="rect">
                      <a:avLst/>
                    </a:prstGeom>
                  </pic:spPr>
                </pic:pic>
              </a:graphicData>
            </a:graphic>
          </wp:inline>
        </w:drawing>
      </w:r>
    </w:p>
    <w:p w14:paraId="6FD50189" w14:textId="77777777" w:rsidR="008F5E7F" w:rsidRDefault="00000000">
      <w:pPr>
        <w:jc w:val="center"/>
      </w:pPr>
      <w:r>
        <w:rPr>
          <w:rFonts w:eastAsia="SimSun"/>
          <w:color w:val="666666"/>
          <w:sz w:val="18"/>
        </w:rPr>
        <w:t>图 13  政策风险贡献目标 vs 实际资本权重（q=0.20 ε=0.30）</w:t>
      </w:r>
    </w:p>
    <w:p w14:paraId="59A8D696" w14:textId="77777777" w:rsidR="008F5E7F" w:rsidRDefault="00000000">
      <w:pPr>
        <w:spacing w:after="80" w:line="336" w:lineRule="auto"/>
        <w:ind w:firstLine="454"/>
      </w:pPr>
      <w:r>
        <w:rPr>
          <w:rFonts w:eastAsia="SimSun"/>
        </w:rPr>
        <w:t>样本内平均资本权重：权益 13.1% / 利率债 62.3% / 信用债 15.1% / 商品 9.4%。样本外平均：权益 4.8% / 利率债 58.6% / 信用债 32.5% / 商品 4.0%。对比政策目标 55 / 20 / 10 / 15，可以直接看到 LW-ERC 把权益的资本权重压到极低——但风险贡献仍恰好命中 55%。</w:t>
      </w:r>
    </w:p>
    <w:p w14:paraId="3D3D0F09" w14:textId="77777777" w:rsidR="008F5E7F" w:rsidRDefault="00000000">
      <w:pPr>
        <w:spacing w:after="80" w:line="336" w:lineRule="auto"/>
        <w:ind w:firstLine="454"/>
      </w:pPr>
      <w:r>
        <w:rPr>
          <w:rFonts w:eastAsia="SimSun"/>
        </w:rPr>
        <w:t>分年度实际资本权重（每周组权重均值，仅计入有仓位的调仓 bar，Σ = 100%）：</w:t>
      </w:r>
    </w:p>
    <w:p w14:paraId="6A769E3D" w14:textId="77777777" w:rsidR="008F5E7F" w:rsidRDefault="00000000">
      <w:pPr>
        <w:spacing w:after="80" w:line="336" w:lineRule="auto"/>
      </w:pPr>
      <w:r>
        <w:rPr>
          <w:rFonts w:eastAsia="SimSun"/>
        </w:rPr>
        <w:t>双层 q=0.20 ε=0.30（落地方案）：</w:t>
      </w:r>
    </w:p>
    <w:tbl>
      <w:tblPr>
        <w:tblStyle w:val="LightGrid-Accent1"/>
        <w:tblW w:w="0" w:type="auto"/>
        <w:jc w:val="center"/>
        <w:tblLook w:val="04A0" w:firstRow="1" w:lastRow="0" w:firstColumn="1" w:lastColumn="0" w:noHBand="0" w:noVBand="1"/>
      </w:tblPr>
      <w:tblGrid>
        <w:gridCol w:w="1417"/>
        <w:gridCol w:w="1587"/>
        <w:gridCol w:w="1587"/>
        <w:gridCol w:w="1587"/>
        <w:gridCol w:w="1587"/>
      </w:tblGrid>
      <w:tr w:rsidR="008F5E7F" w14:paraId="196930C4" w14:textId="77777777" w:rsidTr="008F5E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63A17F6C" w14:textId="77777777" w:rsidR="008F5E7F" w:rsidRDefault="00000000">
            <w:pPr>
              <w:jc w:val="center"/>
            </w:pPr>
            <w:r>
              <w:rPr>
                <w:rFonts w:eastAsia="SimSun"/>
                <w:sz w:val="20"/>
              </w:rPr>
              <w:t>年份</w:t>
            </w:r>
          </w:p>
        </w:tc>
        <w:tc>
          <w:tcPr>
            <w:tcW w:w="1587" w:type="dxa"/>
          </w:tcPr>
          <w:p w14:paraId="45A23657"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权益</w:t>
            </w:r>
          </w:p>
        </w:tc>
        <w:tc>
          <w:tcPr>
            <w:tcW w:w="1587" w:type="dxa"/>
          </w:tcPr>
          <w:p w14:paraId="7B0B74DA"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利率债</w:t>
            </w:r>
          </w:p>
        </w:tc>
        <w:tc>
          <w:tcPr>
            <w:tcW w:w="1587" w:type="dxa"/>
          </w:tcPr>
          <w:p w14:paraId="018ED9D1"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信用债</w:t>
            </w:r>
          </w:p>
        </w:tc>
        <w:tc>
          <w:tcPr>
            <w:tcW w:w="1587" w:type="dxa"/>
          </w:tcPr>
          <w:p w14:paraId="6046DBC0"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商品</w:t>
            </w:r>
          </w:p>
        </w:tc>
      </w:tr>
      <w:tr w:rsidR="008F5E7F" w14:paraId="5F2A565C"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7380903D" w14:textId="77777777" w:rsidR="008F5E7F" w:rsidRDefault="00000000">
            <w:pPr>
              <w:jc w:val="center"/>
            </w:pPr>
            <w:r>
              <w:rPr>
                <w:rFonts w:eastAsia="SimSun"/>
                <w:sz w:val="20"/>
              </w:rPr>
              <w:t>2019</w:t>
            </w:r>
          </w:p>
        </w:tc>
        <w:tc>
          <w:tcPr>
            <w:tcW w:w="1587" w:type="dxa"/>
          </w:tcPr>
          <w:p w14:paraId="262A677A"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20.05%</w:t>
            </w:r>
          </w:p>
        </w:tc>
        <w:tc>
          <w:tcPr>
            <w:tcW w:w="1587" w:type="dxa"/>
          </w:tcPr>
          <w:p w14:paraId="43D07BC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65.69%</w:t>
            </w:r>
          </w:p>
        </w:tc>
        <w:tc>
          <w:tcPr>
            <w:tcW w:w="1587" w:type="dxa"/>
          </w:tcPr>
          <w:p w14:paraId="30294D92"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0.00%</w:t>
            </w:r>
          </w:p>
        </w:tc>
        <w:tc>
          <w:tcPr>
            <w:tcW w:w="1587" w:type="dxa"/>
          </w:tcPr>
          <w:p w14:paraId="3B91B06F"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14.26%</w:t>
            </w:r>
          </w:p>
        </w:tc>
      </w:tr>
      <w:tr w:rsidR="008F5E7F" w14:paraId="30154B67"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763FDE8F" w14:textId="77777777" w:rsidR="008F5E7F" w:rsidRDefault="00000000">
            <w:pPr>
              <w:jc w:val="center"/>
            </w:pPr>
            <w:r>
              <w:rPr>
                <w:rFonts w:eastAsia="SimSun"/>
                <w:sz w:val="20"/>
              </w:rPr>
              <w:t>2020</w:t>
            </w:r>
          </w:p>
        </w:tc>
        <w:tc>
          <w:tcPr>
            <w:tcW w:w="1587" w:type="dxa"/>
          </w:tcPr>
          <w:p w14:paraId="0B4A1DAC"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17.26%</w:t>
            </w:r>
          </w:p>
        </w:tc>
        <w:tc>
          <w:tcPr>
            <w:tcW w:w="1587" w:type="dxa"/>
          </w:tcPr>
          <w:p w14:paraId="3560FD6B"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71.41%</w:t>
            </w:r>
          </w:p>
        </w:tc>
        <w:tc>
          <w:tcPr>
            <w:tcW w:w="1587" w:type="dxa"/>
          </w:tcPr>
          <w:p w14:paraId="64E6B29B"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0.00%</w:t>
            </w:r>
          </w:p>
        </w:tc>
        <w:tc>
          <w:tcPr>
            <w:tcW w:w="1587" w:type="dxa"/>
          </w:tcPr>
          <w:p w14:paraId="015EE21E"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11.33%</w:t>
            </w:r>
          </w:p>
        </w:tc>
      </w:tr>
      <w:tr w:rsidR="008F5E7F" w14:paraId="54DF06EE"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3BFA723B" w14:textId="77777777" w:rsidR="008F5E7F" w:rsidRDefault="00000000">
            <w:pPr>
              <w:jc w:val="center"/>
            </w:pPr>
            <w:r>
              <w:rPr>
                <w:rFonts w:eastAsia="SimSun"/>
                <w:sz w:val="20"/>
              </w:rPr>
              <w:t>2021</w:t>
            </w:r>
          </w:p>
        </w:tc>
        <w:tc>
          <w:tcPr>
            <w:tcW w:w="1587" w:type="dxa"/>
          </w:tcPr>
          <w:p w14:paraId="11FD0F2D"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13.53%</w:t>
            </w:r>
          </w:p>
        </w:tc>
        <w:tc>
          <w:tcPr>
            <w:tcW w:w="1587" w:type="dxa"/>
          </w:tcPr>
          <w:p w14:paraId="343BE30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71.00%</w:t>
            </w:r>
          </w:p>
        </w:tc>
        <w:tc>
          <w:tcPr>
            <w:tcW w:w="1587" w:type="dxa"/>
          </w:tcPr>
          <w:p w14:paraId="7881476D"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5.33%</w:t>
            </w:r>
          </w:p>
        </w:tc>
        <w:tc>
          <w:tcPr>
            <w:tcW w:w="1587" w:type="dxa"/>
          </w:tcPr>
          <w:p w14:paraId="129E102B"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10.14%</w:t>
            </w:r>
          </w:p>
        </w:tc>
      </w:tr>
      <w:tr w:rsidR="008F5E7F" w14:paraId="4C07CC51"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0B19B2FA" w14:textId="77777777" w:rsidR="008F5E7F" w:rsidRDefault="00000000">
            <w:pPr>
              <w:jc w:val="center"/>
            </w:pPr>
            <w:r>
              <w:rPr>
                <w:rFonts w:eastAsia="SimSun"/>
                <w:sz w:val="20"/>
              </w:rPr>
              <w:t>2022</w:t>
            </w:r>
          </w:p>
        </w:tc>
        <w:tc>
          <w:tcPr>
            <w:tcW w:w="1587" w:type="dxa"/>
          </w:tcPr>
          <w:p w14:paraId="73F3E47A"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8.63%</w:t>
            </w:r>
          </w:p>
        </w:tc>
        <w:tc>
          <w:tcPr>
            <w:tcW w:w="1587" w:type="dxa"/>
          </w:tcPr>
          <w:p w14:paraId="6E911D58"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48.91%</w:t>
            </w:r>
          </w:p>
        </w:tc>
        <w:tc>
          <w:tcPr>
            <w:tcW w:w="1587" w:type="dxa"/>
          </w:tcPr>
          <w:p w14:paraId="501FB0EE"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35.66%</w:t>
            </w:r>
          </w:p>
        </w:tc>
        <w:tc>
          <w:tcPr>
            <w:tcW w:w="1587" w:type="dxa"/>
          </w:tcPr>
          <w:p w14:paraId="6AD36CF4"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6.80%</w:t>
            </w:r>
          </w:p>
        </w:tc>
      </w:tr>
      <w:tr w:rsidR="008F5E7F" w14:paraId="1DAC4856"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62362D0B" w14:textId="77777777" w:rsidR="008F5E7F" w:rsidRDefault="00000000">
            <w:pPr>
              <w:jc w:val="center"/>
            </w:pPr>
            <w:r>
              <w:rPr>
                <w:rFonts w:eastAsia="SimSun"/>
                <w:sz w:val="20"/>
              </w:rPr>
              <w:t>2023</w:t>
            </w:r>
          </w:p>
        </w:tc>
        <w:tc>
          <w:tcPr>
            <w:tcW w:w="1587" w:type="dxa"/>
          </w:tcPr>
          <w:p w14:paraId="536AF53B"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6.18%</w:t>
            </w:r>
          </w:p>
        </w:tc>
        <w:tc>
          <w:tcPr>
            <w:tcW w:w="1587" w:type="dxa"/>
          </w:tcPr>
          <w:p w14:paraId="494ECA66"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54.57%</w:t>
            </w:r>
          </w:p>
        </w:tc>
        <w:tc>
          <w:tcPr>
            <w:tcW w:w="1587" w:type="dxa"/>
          </w:tcPr>
          <w:p w14:paraId="6EB78F75"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34.65%</w:t>
            </w:r>
          </w:p>
        </w:tc>
        <w:tc>
          <w:tcPr>
            <w:tcW w:w="1587" w:type="dxa"/>
          </w:tcPr>
          <w:p w14:paraId="130764A2"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4.59%</w:t>
            </w:r>
          </w:p>
        </w:tc>
      </w:tr>
      <w:tr w:rsidR="008F5E7F" w14:paraId="2E087C22"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755FC888" w14:textId="77777777" w:rsidR="008F5E7F" w:rsidRDefault="00000000">
            <w:pPr>
              <w:jc w:val="center"/>
            </w:pPr>
            <w:r>
              <w:rPr>
                <w:rFonts w:eastAsia="SimSun"/>
                <w:sz w:val="20"/>
              </w:rPr>
              <w:t>2024</w:t>
            </w:r>
          </w:p>
        </w:tc>
        <w:tc>
          <w:tcPr>
            <w:tcW w:w="1587" w:type="dxa"/>
          </w:tcPr>
          <w:p w14:paraId="769CF992"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5.41%</w:t>
            </w:r>
          </w:p>
        </w:tc>
        <w:tc>
          <w:tcPr>
            <w:tcW w:w="1587" w:type="dxa"/>
          </w:tcPr>
          <w:p w14:paraId="7F1F5317"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66.32%</w:t>
            </w:r>
          </w:p>
        </w:tc>
        <w:tc>
          <w:tcPr>
            <w:tcW w:w="1587" w:type="dxa"/>
          </w:tcPr>
          <w:p w14:paraId="6FC39FB3"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23.35%</w:t>
            </w:r>
          </w:p>
        </w:tc>
        <w:tc>
          <w:tcPr>
            <w:tcW w:w="1587" w:type="dxa"/>
          </w:tcPr>
          <w:p w14:paraId="3ED28A17"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4.92%</w:t>
            </w:r>
          </w:p>
        </w:tc>
      </w:tr>
      <w:tr w:rsidR="008F5E7F" w14:paraId="093C07DC"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168EEDC9" w14:textId="77777777" w:rsidR="008F5E7F" w:rsidRDefault="00000000">
            <w:pPr>
              <w:jc w:val="center"/>
            </w:pPr>
            <w:r>
              <w:rPr>
                <w:rFonts w:eastAsia="SimSun"/>
                <w:sz w:val="20"/>
              </w:rPr>
              <w:t>2025</w:t>
            </w:r>
          </w:p>
        </w:tc>
        <w:tc>
          <w:tcPr>
            <w:tcW w:w="1587" w:type="dxa"/>
          </w:tcPr>
          <w:p w14:paraId="0444EBCD"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4.21%</w:t>
            </w:r>
          </w:p>
        </w:tc>
        <w:tc>
          <w:tcPr>
            <w:tcW w:w="1587" w:type="dxa"/>
          </w:tcPr>
          <w:p w14:paraId="6316B84A"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50.97%</w:t>
            </w:r>
          </w:p>
        </w:tc>
        <w:tc>
          <w:tcPr>
            <w:tcW w:w="1587" w:type="dxa"/>
          </w:tcPr>
          <w:p w14:paraId="79A8DE26"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41.68%</w:t>
            </w:r>
          </w:p>
        </w:tc>
        <w:tc>
          <w:tcPr>
            <w:tcW w:w="1587" w:type="dxa"/>
          </w:tcPr>
          <w:p w14:paraId="5E5F4DE4"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3.14%</w:t>
            </w:r>
          </w:p>
        </w:tc>
      </w:tr>
      <w:tr w:rsidR="008F5E7F" w14:paraId="41A6D2F3"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5F064934" w14:textId="77777777" w:rsidR="008F5E7F" w:rsidRDefault="00000000">
            <w:pPr>
              <w:jc w:val="center"/>
            </w:pPr>
            <w:r>
              <w:rPr>
                <w:rFonts w:eastAsia="SimSun"/>
                <w:sz w:val="20"/>
              </w:rPr>
              <w:t>IS 均值</w:t>
            </w:r>
          </w:p>
        </w:tc>
        <w:tc>
          <w:tcPr>
            <w:tcW w:w="1587" w:type="dxa"/>
          </w:tcPr>
          <w:p w14:paraId="0F333845"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13.13%</w:t>
            </w:r>
          </w:p>
        </w:tc>
        <w:tc>
          <w:tcPr>
            <w:tcW w:w="1587" w:type="dxa"/>
          </w:tcPr>
          <w:p w14:paraId="3B026384"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62.32%</w:t>
            </w:r>
          </w:p>
        </w:tc>
        <w:tc>
          <w:tcPr>
            <w:tcW w:w="1587" w:type="dxa"/>
          </w:tcPr>
          <w:p w14:paraId="65B09E7C"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15.13%</w:t>
            </w:r>
          </w:p>
        </w:tc>
        <w:tc>
          <w:tcPr>
            <w:tcW w:w="1587" w:type="dxa"/>
          </w:tcPr>
          <w:p w14:paraId="43BCEB97"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9.42%</w:t>
            </w:r>
          </w:p>
        </w:tc>
      </w:tr>
      <w:tr w:rsidR="008F5E7F" w14:paraId="522D5CBA"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37F79EFA" w14:textId="77777777" w:rsidR="008F5E7F" w:rsidRDefault="00000000">
            <w:pPr>
              <w:jc w:val="center"/>
            </w:pPr>
            <w:r>
              <w:rPr>
                <w:rFonts w:eastAsia="SimSun"/>
                <w:sz w:val="20"/>
              </w:rPr>
              <w:t>OOS 均值</w:t>
            </w:r>
          </w:p>
        </w:tc>
        <w:tc>
          <w:tcPr>
            <w:tcW w:w="1587" w:type="dxa"/>
          </w:tcPr>
          <w:p w14:paraId="319AA979"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4.81%</w:t>
            </w:r>
          </w:p>
        </w:tc>
        <w:tc>
          <w:tcPr>
            <w:tcW w:w="1587" w:type="dxa"/>
          </w:tcPr>
          <w:p w14:paraId="156459D5"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58.65%</w:t>
            </w:r>
          </w:p>
        </w:tc>
        <w:tc>
          <w:tcPr>
            <w:tcW w:w="1587" w:type="dxa"/>
          </w:tcPr>
          <w:p w14:paraId="45D6EFCF"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32.52%</w:t>
            </w:r>
          </w:p>
        </w:tc>
        <w:tc>
          <w:tcPr>
            <w:tcW w:w="1587" w:type="dxa"/>
          </w:tcPr>
          <w:p w14:paraId="61BAB136"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4.03%</w:t>
            </w:r>
          </w:p>
        </w:tc>
      </w:tr>
    </w:tbl>
    <w:p w14:paraId="314B2BEE" w14:textId="77777777" w:rsidR="008F5E7F" w:rsidRDefault="008F5E7F"/>
    <w:p w14:paraId="2BE11391" w14:textId="77777777" w:rsidR="008F5E7F" w:rsidRDefault="00000000">
      <w:pPr>
        <w:spacing w:after="80" w:line="336" w:lineRule="auto"/>
      </w:pPr>
      <w:r>
        <w:rPr>
          <w:rFonts w:eastAsia="SimSun"/>
        </w:rPr>
        <w:t>双层 q=0.10 ε=0.30：</w:t>
      </w:r>
    </w:p>
    <w:tbl>
      <w:tblPr>
        <w:tblStyle w:val="LightGrid-Accent1"/>
        <w:tblW w:w="0" w:type="auto"/>
        <w:jc w:val="center"/>
        <w:tblLook w:val="04A0" w:firstRow="1" w:lastRow="0" w:firstColumn="1" w:lastColumn="0" w:noHBand="0" w:noVBand="1"/>
      </w:tblPr>
      <w:tblGrid>
        <w:gridCol w:w="1417"/>
        <w:gridCol w:w="1587"/>
        <w:gridCol w:w="1587"/>
        <w:gridCol w:w="1587"/>
        <w:gridCol w:w="1587"/>
      </w:tblGrid>
      <w:tr w:rsidR="008F5E7F" w14:paraId="20C5BA89" w14:textId="77777777" w:rsidTr="008F5E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74B86DCD" w14:textId="77777777" w:rsidR="008F5E7F" w:rsidRDefault="00000000">
            <w:pPr>
              <w:jc w:val="center"/>
            </w:pPr>
            <w:r>
              <w:rPr>
                <w:rFonts w:eastAsia="SimSun"/>
                <w:sz w:val="20"/>
              </w:rPr>
              <w:t>年份</w:t>
            </w:r>
          </w:p>
        </w:tc>
        <w:tc>
          <w:tcPr>
            <w:tcW w:w="1587" w:type="dxa"/>
          </w:tcPr>
          <w:p w14:paraId="6259404A"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权益</w:t>
            </w:r>
          </w:p>
        </w:tc>
        <w:tc>
          <w:tcPr>
            <w:tcW w:w="1587" w:type="dxa"/>
          </w:tcPr>
          <w:p w14:paraId="1504499A"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利率债</w:t>
            </w:r>
          </w:p>
        </w:tc>
        <w:tc>
          <w:tcPr>
            <w:tcW w:w="1587" w:type="dxa"/>
          </w:tcPr>
          <w:p w14:paraId="60884FF1"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信用债</w:t>
            </w:r>
          </w:p>
        </w:tc>
        <w:tc>
          <w:tcPr>
            <w:tcW w:w="1587" w:type="dxa"/>
          </w:tcPr>
          <w:p w14:paraId="686FB6D3"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商品</w:t>
            </w:r>
          </w:p>
        </w:tc>
      </w:tr>
      <w:tr w:rsidR="008F5E7F" w14:paraId="42D824D8"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5C91D33D" w14:textId="77777777" w:rsidR="008F5E7F" w:rsidRDefault="00000000">
            <w:pPr>
              <w:jc w:val="center"/>
            </w:pPr>
            <w:r>
              <w:rPr>
                <w:rFonts w:eastAsia="SimSun"/>
                <w:sz w:val="20"/>
              </w:rPr>
              <w:t>2019</w:t>
            </w:r>
          </w:p>
        </w:tc>
        <w:tc>
          <w:tcPr>
            <w:tcW w:w="1587" w:type="dxa"/>
          </w:tcPr>
          <w:p w14:paraId="6161B136"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19.89%</w:t>
            </w:r>
          </w:p>
        </w:tc>
        <w:tc>
          <w:tcPr>
            <w:tcW w:w="1587" w:type="dxa"/>
          </w:tcPr>
          <w:p w14:paraId="7BD84D9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65.96%</w:t>
            </w:r>
          </w:p>
        </w:tc>
        <w:tc>
          <w:tcPr>
            <w:tcW w:w="1587" w:type="dxa"/>
          </w:tcPr>
          <w:p w14:paraId="3425860E"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0.00%</w:t>
            </w:r>
          </w:p>
        </w:tc>
        <w:tc>
          <w:tcPr>
            <w:tcW w:w="1587" w:type="dxa"/>
          </w:tcPr>
          <w:p w14:paraId="1E9485A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14.15%</w:t>
            </w:r>
          </w:p>
        </w:tc>
      </w:tr>
      <w:tr w:rsidR="008F5E7F" w14:paraId="6B00A3E9"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790A4FC0" w14:textId="77777777" w:rsidR="008F5E7F" w:rsidRDefault="00000000">
            <w:pPr>
              <w:jc w:val="center"/>
            </w:pPr>
            <w:r>
              <w:rPr>
                <w:rFonts w:eastAsia="SimSun"/>
                <w:sz w:val="20"/>
              </w:rPr>
              <w:t>2020</w:t>
            </w:r>
          </w:p>
        </w:tc>
        <w:tc>
          <w:tcPr>
            <w:tcW w:w="1587" w:type="dxa"/>
          </w:tcPr>
          <w:p w14:paraId="1BA27E6D"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16.52%</w:t>
            </w:r>
          </w:p>
        </w:tc>
        <w:tc>
          <w:tcPr>
            <w:tcW w:w="1587" w:type="dxa"/>
          </w:tcPr>
          <w:p w14:paraId="43D8D0DF"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71.80%</w:t>
            </w:r>
          </w:p>
        </w:tc>
        <w:tc>
          <w:tcPr>
            <w:tcW w:w="1587" w:type="dxa"/>
          </w:tcPr>
          <w:p w14:paraId="6FD1DA78"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0.00%</w:t>
            </w:r>
          </w:p>
        </w:tc>
        <w:tc>
          <w:tcPr>
            <w:tcW w:w="1587" w:type="dxa"/>
          </w:tcPr>
          <w:p w14:paraId="60B7172B"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11.68%</w:t>
            </w:r>
          </w:p>
        </w:tc>
      </w:tr>
      <w:tr w:rsidR="008F5E7F" w14:paraId="50AFA484"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129D12F0" w14:textId="77777777" w:rsidR="008F5E7F" w:rsidRDefault="00000000">
            <w:pPr>
              <w:jc w:val="center"/>
            </w:pPr>
            <w:r>
              <w:rPr>
                <w:rFonts w:eastAsia="SimSun"/>
                <w:sz w:val="20"/>
              </w:rPr>
              <w:t>2021</w:t>
            </w:r>
          </w:p>
        </w:tc>
        <w:tc>
          <w:tcPr>
            <w:tcW w:w="1587" w:type="dxa"/>
          </w:tcPr>
          <w:p w14:paraId="2EEC4D3E"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13.03%</w:t>
            </w:r>
          </w:p>
        </w:tc>
        <w:tc>
          <w:tcPr>
            <w:tcW w:w="1587" w:type="dxa"/>
          </w:tcPr>
          <w:p w14:paraId="3A5C0503"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70.71%</w:t>
            </w:r>
          </w:p>
        </w:tc>
        <w:tc>
          <w:tcPr>
            <w:tcW w:w="1587" w:type="dxa"/>
          </w:tcPr>
          <w:p w14:paraId="7739147C"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5.73%</w:t>
            </w:r>
          </w:p>
        </w:tc>
        <w:tc>
          <w:tcPr>
            <w:tcW w:w="1587" w:type="dxa"/>
          </w:tcPr>
          <w:p w14:paraId="63D3D56D"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10.54%</w:t>
            </w:r>
          </w:p>
        </w:tc>
      </w:tr>
      <w:tr w:rsidR="008F5E7F" w14:paraId="59889CC7"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7D4747B2" w14:textId="77777777" w:rsidR="008F5E7F" w:rsidRDefault="00000000">
            <w:pPr>
              <w:jc w:val="center"/>
            </w:pPr>
            <w:r>
              <w:rPr>
                <w:rFonts w:eastAsia="SimSun"/>
                <w:sz w:val="20"/>
              </w:rPr>
              <w:t>2022</w:t>
            </w:r>
          </w:p>
        </w:tc>
        <w:tc>
          <w:tcPr>
            <w:tcW w:w="1587" w:type="dxa"/>
          </w:tcPr>
          <w:p w14:paraId="32967F83"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8.09%</w:t>
            </w:r>
          </w:p>
        </w:tc>
        <w:tc>
          <w:tcPr>
            <w:tcW w:w="1587" w:type="dxa"/>
          </w:tcPr>
          <w:p w14:paraId="52A68434"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48.96%</w:t>
            </w:r>
          </w:p>
        </w:tc>
        <w:tc>
          <w:tcPr>
            <w:tcW w:w="1587" w:type="dxa"/>
          </w:tcPr>
          <w:p w14:paraId="592AA0E5"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36.31%</w:t>
            </w:r>
          </w:p>
        </w:tc>
        <w:tc>
          <w:tcPr>
            <w:tcW w:w="1587" w:type="dxa"/>
          </w:tcPr>
          <w:p w14:paraId="536B6182"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6.64%</w:t>
            </w:r>
          </w:p>
        </w:tc>
      </w:tr>
      <w:tr w:rsidR="008F5E7F" w14:paraId="104371FF"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68F3755A" w14:textId="77777777" w:rsidR="008F5E7F" w:rsidRDefault="00000000">
            <w:pPr>
              <w:jc w:val="center"/>
            </w:pPr>
            <w:r>
              <w:rPr>
                <w:rFonts w:eastAsia="SimSun"/>
                <w:sz w:val="20"/>
              </w:rPr>
              <w:t>2023</w:t>
            </w:r>
          </w:p>
        </w:tc>
        <w:tc>
          <w:tcPr>
            <w:tcW w:w="1587" w:type="dxa"/>
          </w:tcPr>
          <w:p w14:paraId="5EE9EF96"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6.01%</w:t>
            </w:r>
          </w:p>
        </w:tc>
        <w:tc>
          <w:tcPr>
            <w:tcW w:w="1587" w:type="dxa"/>
          </w:tcPr>
          <w:p w14:paraId="4F992AED"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55.56%</w:t>
            </w:r>
          </w:p>
        </w:tc>
        <w:tc>
          <w:tcPr>
            <w:tcW w:w="1587" w:type="dxa"/>
          </w:tcPr>
          <w:p w14:paraId="4210B358"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33.87%</w:t>
            </w:r>
          </w:p>
        </w:tc>
        <w:tc>
          <w:tcPr>
            <w:tcW w:w="1587" w:type="dxa"/>
          </w:tcPr>
          <w:p w14:paraId="15BD0A5E"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4.57%</w:t>
            </w:r>
          </w:p>
        </w:tc>
      </w:tr>
      <w:tr w:rsidR="008F5E7F" w14:paraId="4024C1E4"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0678FFCF" w14:textId="77777777" w:rsidR="008F5E7F" w:rsidRDefault="00000000">
            <w:pPr>
              <w:jc w:val="center"/>
            </w:pPr>
            <w:r>
              <w:rPr>
                <w:rFonts w:eastAsia="SimSun"/>
                <w:sz w:val="20"/>
              </w:rPr>
              <w:t>2024</w:t>
            </w:r>
          </w:p>
        </w:tc>
        <w:tc>
          <w:tcPr>
            <w:tcW w:w="1587" w:type="dxa"/>
          </w:tcPr>
          <w:p w14:paraId="6AFA5634"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5.41%</w:t>
            </w:r>
          </w:p>
        </w:tc>
        <w:tc>
          <w:tcPr>
            <w:tcW w:w="1587" w:type="dxa"/>
          </w:tcPr>
          <w:p w14:paraId="20C9F6F6"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67.42%</w:t>
            </w:r>
          </w:p>
        </w:tc>
        <w:tc>
          <w:tcPr>
            <w:tcW w:w="1587" w:type="dxa"/>
          </w:tcPr>
          <w:p w14:paraId="7F140EC2"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22.29%</w:t>
            </w:r>
          </w:p>
        </w:tc>
        <w:tc>
          <w:tcPr>
            <w:tcW w:w="1587" w:type="dxa"/>
          </w:tcPr>
          <w:p w14:paraId="3F872F0C"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4.88%</w:t>
            </w:r>
          </w:p>
        </w:tc>
      </w:tr>
      <w:tr w:rsidR="008F5E7F" w14:paraId="66C8A024"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5D2F1C32" w14:textId="77777777" w:rsidR="008F5E7F" w:rsidRDefault="00000000">
            <w:pPr>
              <w:jc w:val="center"/>
            </w:pPr>
            <w:r>
              <w:rPr>
                <w:rFonts w:eastAsia="SimSun"/>
                <w:sz w:val="20"/>
              </w:rPr>
              <w:t>2025</w:t>
            </w:r>
          </w:p>
        </w:tc>
        <w:tc>
          <w:tcPr>
            <w:tcW w:w="1587" w:type="dxa"/>
          </w:tcPr>
          <w:p w14:paraId="7359983B"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4.47%</w:t>
            </w:r>
          </w:p>
        </w:tc>
        <w:tc>
          <w:tcPr>
            <w:tcW w:w="1587" w:type="dxa"/>
          </w:tcPr>
          <w:p w14:paraId="4F32091E"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50.69%</w:t>
            </w:r>
          </w:p>
        </w:tc>
        <w:tc>
          <w:tcPr>
            <w:tcW w:w="1587" w:type="dxa"/>
          </w:tcPr>
          <w:p w14:paraId="4D949D23"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41.65%</w:t>
            </w:r>
          </w:p>
        </w:tc>
        <w:tc>
          <w:tcPr>
            <w:tcW w:w="1587" w:type="dxa"/>
          </w:tcPr>
          <w:p w14:paraId="595D2E5E"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3.19%</w:t>
            </w:r>
          </w:p>
        </w:tc>
      </w:tr>
      <w:tr w:rsidR="008F5E7F" w14:paraId="146741E8"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39B476AC" w14:textId="77777777" w:rsidR="008F5E7F" w:rsidRDefault="00000000">
            <w:pPr>
              <w:jc w:val="center"/>
            </w:pPr>
            <w:r>
              <w:rPr>
                <w:rFonts w:eastAsia="SimSun"/>
                <w:sz w:val="20"/>
              </w:rPr>
              <w:lastRenderedPageBreak/>
              <w:t>IS 均值</w:t>
            </w:r>
          </w:p>
        </w:tc>
        <w:tc>
          <w:tcPr>
            <w:tcW w:w="1587" w:type="dxa"/>
          </w:tcPr>
          <w:p w14:paraId="5B39660C"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12.71%</w:t>
            </w:r>
          </w:p>
        </w:tc>
        <w:tc>
          <w:tcPr>
            <w:tcW w:w="1587" w:type="dxa"/>
          </w:tcPr>
          <w:p w14:paraId="440CB1BA"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62.60%</w:t>
            </w:r>
          </w:p>
        </w:tc>
        <w:tc>
          <w:tcPr>
            <w:tcW w:w="1587" w:type="dxa"/>
          </w:tcPr>
          <w:p w14:paraId="360AFE78"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15.18%</w:t>
            </w:r>
          </w:p>
        </w:tc>
        <w:tc>
          <w:tcPr>
            <w:tcW w:w="1587" w:type="dxa"/>
          </w:tcPr>
          <w:p w14:paraId="5ED10986"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9.52%</w:t>
            </w:r>
          </w:p>
        </w:tc>
      </w:tr>
      <w:tr w:rsidR="008F5E7F" w14:paraId="136C3DE5"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58582E28" w14:textId="77777777" w:rsidR="008F5E7F" w:rsidRDefault="00000000">
            <w:pPr>
              <w:jc w:val="center"/>
            </w:pPr>
            <w:r>
              <w:rPr>
                <w:rFonts w:eastAsia="SimSun"/>
                <w:sz w:val="20"/>
              </w:rPr>
              <w:t>OOS 均值</w:t>
            </w:r>
          </w:p>
        </w:tc>
        <w:tc>
          <w:tcPr>
            <w:tcW w:w="1587" w:type="dxa"/>
          </w:tcPr>
          <w:p w14:paraId="49EF9C4F"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4.94%</w:t>
            </w:r>
          </w:p>
        </w:tc>
        <w:tc>
          <w:tcPr>
            <w:tcW w:w="1587" w:type="dxa"/>
          </w:tcPr>
          <w:p w14:paraId="084C4C22"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59.06%</w:t>
            </w:r>
          </w:p>
        </w:tc>
        <w:tc>
          <w:tcPr>
            <w:tcW w:w="1587" w:type="dxa"/>
          </w:tcPr>
          <w:p w14:paraId="72116820"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31.97%</w:t>
            </w:r>
          </w:p>
        </w:tc>
        <w:tc>
          <w:tcPr>
            <w:tcW w:w="1587" w:type="dxa"/>
          </w:tcPr>
          <w:p w14:paraId="20D4812C"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4.03%</w:t>
            </w:r>
          </w:p>
        </w:tc>
      </w:tr>
    </w:tbl>
    <w:p w14:paraId="3A8F238D" w14:textId="77777777" w:rsidR="008F5E7F" w:rsidRDefault="008F5E7F"/>
    <w:p w14:paraId="2053BC41" w14:textId="77777777" w:rsidR="008F5E7F" w:rsidRDefault="00000000">
      <w:pPr>
        <w:spacing w:after="80" w:line="336" w:lineRule="auto"/>
      </w:pPr>
      <w:r>
        <w:rPr>
          <w:rFonts w:eastAsia="SimSun"/>
        </w:rPr>
        <w:t>双层 α off（Layer-1 参照）：</w:t>
      </w:r>
    </w:p>
    <w:tbl>
      <w:tblPr>
        <w:tblStyle w:val="LightGrid-Accent1"/>
        <w:tblW w:w="0" w:type="auto"/>
        <w:jc w:val="center"/>
        <w:tblLook w:val="04A0" w:firstRow="1" w:lastRow="0" w:firstColumn="1" w:lastColumn="0" w:noHBand="0" w:noVBand="1"/>
      </w:tblPr>
      <w:tblGrid>
        <w:gridCol w:w="1417"/>
        <w:gridCol w:w="1587"/>
        <w:gridCol w:w="1587"/>
        <w:gridCol w:w="1587"/>
        <w:gridCol w:w="1587"/>
      </w:tblGrid>
      <w:tr w:rsidR="008F5E7F" w14:paraId="7A0280D0" w14:textId="77777777" w:rsidTr="008F5E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4769CFE5" w14:textId="77777777" w:rsidR="008F5E7F" w:rsidRDefault="00000000">
            <w:pPr>
              <w:jc w:val="center"/>
            </w:pPr>
            <w:r>
              <w:rPr>
                <w:rFonts w:eastAsia="SimSun"/>
                <w:sz w:val="20"/>
              </w:rPr>
              <w:t>年份</w:t>
            </w:r>
          </w:p>
        </w:tc>
        <w:tc>
          <w:tcPr>
            <w:tcW w:w="1587" w:type="dxa"/>
          </w:tcPr>
          <w:p w14:paraId="41596C91"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权益</w:t>
            </w:r>
          </w:p>
        </w:tc>
        <w:tc>
          <w:tcPr>
            <w:tcW w:w="1587" w:type="dxa"/>
          </w:tcPr>
          <w:p w14:paraId="1EA6D17E"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利率债</w:t>
            </w:r>
          </w:p>
        </w:tc>
        <w:tc>
          <w:tcPr>
            <w:tcW w:w="1587" w:type="dxa"/>
          </w:tcPr>
          <w:p w14:paraId="00BF87F3"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信用债</w:t>
            </w:r>
          </w:p>
        </w:tc>
        <w:tc>
          <w:tcPr>
            <w:tcW w:w="1587" w:type="dxa"/>
          </w:tcPr>
          <w:p w14:paraId="4ECF1918"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商品</w:t>
            </w:r>
          </w:p>
        </w:tc>
      </w:tr>
      <w:tr w:rsidR="008F5E7F" w14:paraId="0BF4BB5E"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4D14A1B9" w14:textId="77777777" w:rsidR="008F5E7F" w:rsidRDefault="00000000">
            <w:pPr>
              <w:jc w:val="center"/>
            </w:pPr>
            <w:r>
              <w:rPr>
                <w:rFonts w:eastAsia="SimSun"/>
                <w:sz w:val="20"/>
              </w:rPr>
              <w:t>2019</w:t>
            </w:r>
          </w:p>
        </w:tc>
        <w:tc>
          <w:tcPr>
            <w:tcW w:w="1587" w:type="dxa"/>
          </w:tcPr>
          <w:p w14:paraId="2B8D2148"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10.02%</w:t>
            </w:r>
          </w:p>
        </w:tc>
        <w:tc>
          <w:tcPr>
            <w:tcW w:w="1587" w:type="dxa"/>
          </w:tcPr>
          <w:p w14:paraId="60429049"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75.70%</w:t>
            </w:r>
          </w:p>
        </w:tc>
        <w:tc>
          <w:tcPr>
            <w:tcW w:w="1587" w:type="dxa"/>
          </w:tcPr>
          <w:p w14:paraId="74A62525"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0.00%</w:t>
            </w:r>
          </w:p>
        </w:tc>
        <w:tc>
          <w:tcPr>
            <w:tcW w:w="1587" w:type="dxa"/>
          </w:tcPr>
          <w:p w14:paraId="24EBFA79"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14.28%</w:t>
            </w:r>
          </w:p>
        </w:tc>
      </w:tr>
      <w:tr w:rsidR="008F5E7F" w14:paraId="72FC3B2B"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46C4BC98" w14:textId="77777777" w:rsidR="008F5E7F" w:rsidRDefault="00000000">
            <w:pPr>
              <w:jc w:val="center"/>
            </w:pPr>
            <w:r>
              <w:rPr>
                <w:rFonts w:eastAsia="SimSun"/>
                <w:sz w:val="20"/>
              </w:rPr>
              <w:t>2020</w:t>
            </w:r>
          </w:p>
        </w:tc>
        <w:tc>
          <w:tcPr>
            <w:tcW w:w="1587" w:type="dxa"/>
          </w:tcPr>
          <w:p w14:paraId="0483FCF2"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16.08%</w:t>
            </w:r>
          </w:p>
        </w:tc>
        <w:tc>
          <w:tcPr>
            <w:tcW w:w="1587" w:type="dxa"/>
          </w:tcPr>
          <w:p w14:paraId="568B8EB4"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72.36%</w:t>
            </w:r>
          </w:p>
        </w:tc>
        <w:tc>
          <w:tcPr>
            <w:tcW w:w="1587" w:type="dxa"/>
          </w:tcPr>
          <w:p w14:paraId="42EE7179"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0.00%</w:t>
            </w:r>
          </w:p>
        </w:tc>
        <w:tc>
          <w:tcPr>
            <w:tcW w:w="1587" w:type="dxa"/>
          </w:tcPr>
          <w:p w14:paraId="5083FFE1"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11.56%</w:t>
            </w:r>
          </w:p>
        </w:tc>
      </w:tr>
      <w:tr w:rsidR="008F5E7F" w14:paraId="6132784A"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5176D80E" w14:textId="77777777" w:rsidR="008F5E7F" w:rsidRDefault="00000000">
            <w:pPr>
              <w:jc w:val="center"/>
            </w:pPr>
            <w:r>
              <w:rPr>
                <w:rFonts w:eastAsia="SimSun"/>
                <w:sz w:val="20"/>
              </w:rPr>
              <w:t>2021</w:t>
            </w:r>
          </w:p>
        </w:tc>
        <w:tc>
          <w:tcPr>
            <w:tcW w:w="1587" w:type="dxa"/>
          </w:tcPr>
          <w:p w14:paraId="574B7F74"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13.70%</w:t>
            </w:r>
          </w:p>
        </w:tc>
        <w:tc>
          <w:tcPr>
            <w:tcW w:w="1587" w:type="dxa"/>
          </w:tcPr>
          <w:p w14:paraId="0665745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70.85%</w:t>
            </w:r>
          </w:p>
        </w:tc>
        <w:tc>
          <w:tcPr>
            <w:tcW w:w="1587" w:type="dxa"/>
          </w:tcPr>
          <w:p w14:paraId="7D2CCFFF"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4.78%</w:t>
            </w:r>
          </w:p>
        </w:tc>
        <w:tc>
          <w:tcPr>
            <w:tcW w:w="1587" w:type="dxa"/>
          </w:tcPr>
          <w:p w14:paraId="3B3451CA"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10.67%</w:t>
            </w:r>
          </w:p>
        </w:tc>
      </w:tr>
      <w:tr w:rsidR="008F5E7F" w14:paraId="1DBE60BB"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683D9AC7" w14:textId="77777777" w:rsidR="008F5E7F" w:rsidRDefault="00000000">
            <w:pPr>
              <w:jc w:val="center"/>
            </w:pPr>
            <w:r>
              <w:rPr>
                <w:rFonts w:eastAsia="SimSun"/>
                <w:sz w:val="20"/>
              </w:rPr>
              <w:t>2022</w:t>
            </w:r>
          </w:p>
        </w:tc>
        <w:tc>
          <w:tcPr>
            <w:tcW w:w="1587" w:type="dxa"/>
          </w:tcPr>
          <w:p w14:paraId="1E67B3B7"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8.73%</w:t>
            </w:r>
          </w:p>
        </w:tc>
        <w:tc>
          <w:tcPr>
            <w:tcW w:w="1587" w:type="dxa"/>
          </w:tcPr>
          <w:p w14:paraId="0B662AC8"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48.48%</w:t>
            </w:r>
          </w:p>
        </w:tc>
        <w:tc>
          <w:tcPr>
            <w:tcW w:w="1587" w:type="dxa"/>
          </w:tcPr>
          <w:p w14:paraId="6983F014"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35.90%</w:t>
            </w:r>
          </w:p>
        </w:tc>
        <w:tc>
          <w:tcPr>
            <w:tcW w:w="1587" w:type="dxa"/>
          </w:tcPr>
          <w:p w14:paraId="059E1CAA"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6.89%</w:t>
            </w:r>
          </w:p>
        </w:tc>
      </w:tr>
      <w:tr w:rsidR="008F5E7F" w14:paraId="7C318E8C"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2B91978A" w14:textId="77777777" w:rsidR="008F5E7F" w:rsidRDefault="00000000">
            <w:pPr>
              <w:jc w:val="center"/>
            </w:pPr>
            <w:r>
              <w:rPr>
                <w:rFonts w:eastAsia="SimSun"/>
                <w:sz w:val="20"/>
              </w:rPr>
              <w:t>2023</w:t>
            </w:r>
          </w:p>
        </w:tc>
        <w:tc>
          <w:tcPr>
            <w:tcW w:w="1587" w:type="dxa"/>
          </w:tcPr>
          <w:p w14:paraId="0B6F460E"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6.27%</w:t>
            </w:r>
          </w:p>
        </w:tc>
        <w:tc>
          <w:tcPr>
            <w:tcW w:w="1587" w:type="dxa"/>
          </w:tcPr>
          <w:p w14:paraId="46DF2E0C"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53.87%</w:t>
            </w:r>
          </w:p>
        </w:tc>
        <w:tc>
          <w:tcPr>
            <w:tcW w:w="1587" w:type="dxa"/>
          </w:tcPr>
          <w:p w14:paraId="7AF66D94"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35.25%</w:t>
            </w:r>
          </w:p>
        </w:tc>
        <w:tc>
          <w:tcPr>
            <w:tcW w:w="1587" w:type="dxa"/>
          </w:tcPr>
          <w:p w14:paraId="5AD6C432"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4.60%</w:t>
            </w:r>
          </w:p>
        </w:tc>
      </w:tr>
      <w:tr w:rsidR="008F5E7F" w14:paraId="6FB10998"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14368FA4" w14:textId="77777777" w:rsidR="008F5E7F" w:rsidRDefault="00000000">
            <w:pPr>
              <w:jc w:val="center"/>
            </w:pPr>
            <w:r>
              <w:rPr>
                <w:rFonts w:eastAsia="SimSun"/>
                <w:sz w:val="20"/>
              </w:rPr>
              <w:t>2024</w:t>
            </w:r>
          </w:p>
        </w:tc>
        <w:tc>
          <w:tcPr>
            <w:tcW w:w="1587" w:type="dxa"/>
          </w:tcPr>
          <w:p w14:paraId="0C3146F2"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5.51%</w:t>
            </w:r>
          </w:p>
        </w:tc>
        <w:tc>
          <w:tcPr>
            <w:tcW w:w="1587" w:type="dxa"/>
          </w:tcPr>
          <w:p w14:paraId="597B6683"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62.09%</w:t>
            </w:r>
          </w:p>
        </w:tc>
        <w:tc>
          <w:tcPr>
            <w:tcW w:w="1587" w:type="dxa"/>
          </w:tcPr>
          <w:p w14:paraId="6E189D0F"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27.40%</w:t>
            </w:r>
          </w:p>
        </w:tc>
        <w:tc>
          <w:tcPr>
            <w:tcW w:w="1587" w:type="dxa"/>
          </w:tcPr>
          <w:p w14:paraId="414E30C0"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5.00%</w:t>
            </w:r>
          </w:p>
        </w:tc>
      </w:tr>
      <w:tr w:rsidR="008F5E7F" w14:paraId="6B0B81D6"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75C9EFDF" w14:textId="77777777" w:rsidR="008F5E7F" w:rsidRDefault="00000000">
            <w:pPr>
              <w:jc w:val="center"/>
            </w:pPr>
            <w:r>
              <w:rPr>
                <w:rFonts w:eastAsia="SimSun"/>
                <w:sz w:val="20"/>
              </w:rPr>
              <w:t>2025</w:t>
            </w:r>
          </w:p>
        </w:tc>
        <w:tc>
          <w:tcPr>
            <w:tcW w:w="1587" w:type="dxa"/>
          </w:tcPr>
          <w:p w14:paraId="5F042E2E"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4.05%</w:t>
            </w:r>
          </w:p>
        </w:tc>
        <w:tc>
          <w:tcPr>
            <w:tcW w:w="1587" w:type="dxa"/>
          </w:tcPr>
          <w:p w14:paraId="3E6C716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52.86%</w:t>
            </w:r>
          </w:p>
        </w:tc>
        <w:tc>
          <w:tcPr>
            <w:tcW w:w="1587" w:type="dxa"/>
          </w:tcPr>
          <w:p w14:paraId="61475C53"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40.05%</w:t>
            </w:r>
          </w:p>
        </w:tc>
        <w:tc>
          <w:tcPr>
            <w:tcW w:w="1587" w:type="dxa"/>
          </w:tcPr>
          <w:p w14:paraId="09ADC92D"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3.04%</w:t>
            </w:r>
          </w:p>
        </w:tc>
      </w:tr>
      <w:tr w:rsidR="008F5E7F" w14:paraId="03A740EE"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3380DB50" w14:textId="77777777" w:rsidR="008F5E7F" w:rsidRDefault="00000000">
            <w:pPr>
              <w:jc w:val="center"/>
            </w:pPr>
            <w:r>
              <w:rPr>
                <w:rFonts w:eastAsia="SimSun"/>
                <w:sz w:val="20"/>
              </w:rPr>
              <w:t>IS 均值</w:t>
            </w:r>
          </w:p>
        </w:tc>
        <w:tc>
          <w:tcPr>
            <w:tcW w:w="1587" w:type="dxa"/>
          </w:tcPr>
          <w:p w14:paraId="716A6D8B"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10.96%</w:t>
            </w:r>
          </w:p>
        </w:tc>
        <w:tc>
          <w:tcPr>
            <w:tcW w:w="1587" w:type="dxa"/>
          </w:tcPr>
          <w:p w14:paraId="1AF95367"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64.25%</w:t>
            </w:r>
          </w:p>
        </w:tc>
        <w:tc>
          <w:tcPr>
            <w:tcW w:w="1587" w:type="dxa"/>
          </w:tcPr>
          <w:p w14:paraId="6A014B17"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15.19%</w:t>
            </w:r>
          </w:p>
        </w:tc>
        <w:tc>
          <w:tcPr>
            <w:tcW w:w="1587" w:type="dxa"/>
          </w:tcPr>
          <w:p w14:paraId="4EAAA5CB"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9.60%</w:t>
            </w:r>
          </w:p>
        </w:tc>
      </w:tr>
      <w:tr w:rsidR="008F5E7F" w14:paraId="209ED236"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42729851" w14:textId="77777777" w:rsidR="008F5E7F" w:rsidRDefault="00000000">
            <w:pPr>
              <w:jc w:val="center"/>
            </w:pPr>
            <w:r>
              <w:rPr>
                <w:rFonts w:eastAsia="SimSun"/>
                <w:sz w:val="20"/>
              </w:rPr>
              <w:t>OOS 均值</w:t>
            </w:r>
          </w:p>
        </w:tc>
        <w:tc>
          <w:tcPr>
            <w:tcW w:w="1587" w:type="dxa"/>
          </w:tcPr>
          <w:p w14:paraId="414A3B8F"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4.78%</w:t>
            </w:r>
          </w:p>
        </w:tc>
        <w:tc>
          <w:tcPr>
            <w:tcW w:w="1587" w:type="dxa"/>
          </w:tcPr>
          <w:p w14:paraId="57DBB883"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57.47%</w:t>
            </w:r>
          </w:p>
        </w:tc>
        <w:tc>
          <w:tcPr>
            <w:tcW w:w="1587" w:type="dxa"/>
          </w:tcPr>
          <w:p w14:paraId="23425215"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33.72%</w:t>
            </w:r>
          </w:p>
        </w:tc>
        <w:tc>
          <w:tcPr>
            <w:tcW w:w="1587" w:type="dxa"/>
          </w:tcPr>
          <w:p w14:paraId="4253B6F6"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4.02%</w:t>
            </w:r>
          </w:p>
        </w:tc>
      </w:tr>
    </w:tbl>
    <w:p w14:paraId="07F3291A" w14:textId="77777777" w:rsidR="008F5E7F" w:rsidRDefault="008F5E7F"/>
    <w:p w14:paraId="167C88DD" w14:textId="77777777" w:rsidR="008F5E7F" w:rsidRDefault="00000000">
      <w:pPr>
        <w:spacing w:after="80" w:line="336" w:lineRule="auto"/>
        <w:ind w:firstLine="454"/>
      </w:pPr>
      <w:r>
        <w:rPr>
          <w:rFonts w:eastAsia="SimSun"/>
        </w:rPr>
        <w:t>组间资本权重时序（4 周平滑）可以更直观地展示 Layer-1 solver 对波动率环境切换的响应：</w:t>
      </w:r>
    </w:p>
    <w:p w14:paraId="429B4586" w14:textId="77777777" w:rsidR="008F5E7F" w:rsidRDefault="00000000">
      <w:pPr>
        <w:jc w:val="center"/>
      </w:pPr>
      <w:r>
        <w:rPr>
          <w:noProof/>
        </w:rPr>
        <w:drawing>
          <wp:inline distT="0" distB="0" distL="0" distR="0" wp14:anchorId="1659B9D8" wp14:editId="0B3B5901">
            <wp:extent cx="5580000" cy="25406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wgroup_area_q20.png"/>
                    <pic:cNvPicPr/>
                  </pic:nvPicPr>
                  <pic:blipFill>
                    <a:blip r:embed="rId18"/>
                    <a:stretch>
                      <a:fillRect/>
                    </a:stretch>
                  </pic:blipFill>
                  <pic:spPr>
                    <a:xfrm>
                      <a:off x="0" y="0"/>
                      <a:ext cx="5580000" cy="2540699"/>
                    </a:xfrm>
                    <a:prstGeom prst="rect">
                      <a:avLst/>
                    </a:prstGeom>
                  </pic:spPr>
                </pic:pic>
              </a:graphicData>
            </a:graphic>
          </wp:inline>
        </w:drawing>
      </w:r>
    </w:p>
    <w:p w14:paraId="59C70B35" w14:textId="77777777" w:rsidR="008F5E7F" w:rsidRDefault="00000000">
      <w:pPr>
        <w:jc w:val="center"/>
      </w:pPr>
      <w:r>
        <w:rPr>
          <w:rFonts w:eastAsia="SimSun"/>
          <w:color w:val="666666"/>
          <w:sz w:val="18"/>
        </w:rPr>
        <w:t>图 14  双层 q=0.20 ε=0.30：组间资本权重时序（stack area）</w:t>
      </w:r>
    </w:p>
    <w:p w14:paraId="4405CED0" w14:textId="77777777" w:rsidR="008F5E7F" w:rsidRDefault="00000000">
      <w:pPr>
        <w:jc w:val="center"/>
      </w:pPr>
      <w:r>
        <w:rPr>
          <w:noProof/>
        </w:rPr>
        <w:lastRenderedPageBreak/>
        <w:drawing>
          <wp:inline distT="0" distB="0" distL="0" distR="0" wp14:anchorId="7ED2446A" wp14:editId="63979A88">
            <wp:extent cx="5580000" cy="25406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wgroup_area_q10.png"/>
                    <pic:cNvPicPr/>
                  </pic:nvPicPr>
                  <pic:blipFill>
                    <a:blip r:embed="rId19"/>
                    <a:stretch>
                      <a:fillRect/>
                    </a:stretch>
                  </pic:blipFill>
                  <pic:spPr>
                    <a:xfrm>
                      <a:off x="0" y="0"/>
                      <a:ext cx="5580000" cy="2540699"/>
                    </a:xfrm>
                    <a:prstGeom prst="rect">
                      <a:avLst/>
                    </a:prstGeom>
                  </pic:spPr>
                </pic:pic>
              </a:graphicData>
            </a:graphic>
          </wp:inline>
        </w:drawing>
      </w:r>
    </w:p>
    <w:p w14:paraId="2DDBE43F" w14:textId="77777777" w:rsidR="008F5E7F" w:rsidRDefault="00000000">
      <w:pPr>
        <w:jc w:val="center"/>
      </w:pPr>
      <w:r>
        <w:rPr>
          <w:rFonts w:eastAsia="SimSun"/>
          <w:color w:val="666666"/>
          <w:sz w:val="18"/>
        </w:rPr>
        <w:t>图 15  双层 q=0.10 ε=0.30：组间资本权重时序（stack area）</w:t>
      </w:r>
    </w:p>
    <w:p w14:paraId="67D000D4" w14:textId="77777777" w:rsidR="008F5E7F" w:rsidRDefault="00000000">
      <w:pPr>
        <w:spacing w:after="80" w:line="336" w:lineRule="auto"/>
        <w:ind w:firstLine="454"/>
      </w:pPr>
      <w:r>
        <w:rPr>
          <w:rFonts w:eastAsia="SimSun"/>
        </w:rPr>
        <w:t>几点解读：</w:t>
      </w:r>
    </w:p>
    <w:p w14:paraId="31BCAAD8" w14:textId="77777777" w:rsidR="008F5E7F" w:rsidRDefault="00000000">
      <w:pPr>
        <w:pStyle w:val="ListBullet"/>
        <w:spacing w:after="40" w:line="312" w:lineRule="auto"/>
      </w:pPr>
      <w:r>
        <w:rPr>
          <w:rFonts w:eastAsia="SimSun"/>
        </w:rPr>
        <w:t>三个双层方案的组间资本分布高度一致——因为 Layer-1 solver 只看组间协方差，两个 α 变体的差异只影响 broad_cn / sector_cn 块内的名字选择，并不改变组间求解结果；α 层唯一间接影响组间权重的方式是通过所选名字与其他块相关性的差异。</w:t>
      </w:r>
    </w:p>
    <w:p w14:paraId="2DF2F48A" w14:textId="77777777" w:rsidR="008F5E7F" w:rsidRDefault="00000000">
      <w:pPr>
        <w:pStyle w:val="ListBullet"/>
        <w:spacing w:after="40" w:line="312" w:lineRule="auto"/>
      </w:pPr>
      <w:r>
        <w:rPr>
          <w:rFonts w:eastAsia="SimSun"/>
        </w:rPr>
        <w:t>2019–2021 年权益仓位一度接近 20%，因为疫情前 A 股权益 σ 相对温和；2020 年 3 月后权益 σ 抬升，solver 自动把 equity 资本压到 15% 附近，利率债则从 65% 抬到 71%。这就是“政策风险目标不变、资本权重跟着 σ 走”的直接体现。</w:t>
      </w:r>
    </w:p>
    <w:p w14:paraId="5C9C2454" w14:textId="77777777" w:rsidR="008F5E7F" w:rsidRDefault="00000000">
      <w:pPr>
        <w:pStyle w:val="ListBullet"/>
        <w:spacing w:after="40" w:line="312" w:lineRule="auto"/>
      </w:pPr>
      <w:r>
        <w:rPr>
          <w:rFonts w:eastAsia="SimSun"/>
        </w:rPr>
        <w:t>2022 年信用债完成 52 周协方差 warmup 后正式入场，占比从 5% 直接跳到 35% 附近，与利率债形成分工——这一年也是双层结构里对旧版 solo defensive 拉开最大差距的一年。</w:t>
      </w:r>
    </w:p>
    <w:p w14:paraId="6D2A8E51" w14:textId="77777777" w:rsidR="008F5E7F" w:rsidRDefault="00000000">
      <w:pPr>
        <w:pStyle w:val="ListBullet"/>
        <w:spacing w:after="40" w:line="312" w:lineRule="auto"/>
      </w:pPr>
      <w:r>
        <w:rPr>
          <w:rFonts w:eastAsia="SimSun"/>
        </w:rPr>
        <w:t>OOS 里权益资本权重只有 4–5%，商品也只有 3–5%——这是solver 对 2024 年权益/商品波动率环境的反应，但由于风险贡献不变，OOS Sharpe 反而更高（因为组间协方差在 2024 年更接近对角，log-barrier 解距离等 σ 参考点更近，实际组合的 realized-σ 与 predicted-σ 差异更小）。</w:t>
      </w:r>
    </w:p>
    <w:p w14:paraId="14A2B788" w14:textId="77777777" w:rsidR="008F5E7F" w:rsidRDefault="00000000">
      <w:pPr>
        <w:pStyle w:val="ListBullet"/>
        <w:spacing w:after="40" w:line="312" w:lineRule="auto"/>
      </w:pPr>
      <w:r>
        <w:rPr>
          <w:rFonts w:eastAsia="SimSun"/>
        </w:rPr>
        <w:t>另一件值得注意的事：**没有硬约束** 让某组至少持有多少资本权重。如果未来希望在权益长期低配的年份强制“权益资本 ≥ 20%”，需要在 solver 里加不等式约束——当前配置没有。</w:t>
      </w:r>
    </w:p>
    <w:p w14:paraId="4167AADB" w14:textId="77777777" w:rsidR="008F5E7F" w:rsidRDefault="00000000">
      <w:pPr>
        <w:pStyle w:val="Heading2"/>
      </w:pPr>
      <w:r>
        <w:rPr>
          <w:rFonts w:ascii="SimHei" w:eastAsia="SimHei" w:hAnsi="SimHei"/>
        </w:rPr>
        <w:lastRenderedPageBreak/>
        <w:t>4.8 分年度收益</w:t>
      </w:r>
    </w:p>
    <w:p w14:paraId="41127437" w14:textId="77777777" w:rsidR="008F5E7F" w:rsidRDefault="00000000">
      <w:pPr>
        <w:jc w:val="center"/>
      </w:pPr>
      <w:r>
        <w:rPr>
          <w:noProof/>
        </w:rPr>
        <w:drawing>
          <wp:inline distT="0" distB="0" distL="0" distR="0" wp14:anchorId="4A102F31" wp14:editId="69EF5832">
            <wp:extent cx="5580000" cy="230760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yearly.png"/>
                    <pic:cNvPicPr/>
                  </pic:nvPicPr>
                  <pic:blipFill>
                    <a:blip r:embed="rId20"/>
                    <a:stretch>
                      <a:fillRect/>
                    </a:stretch>
                  </pic:blipFill>
                  <pic:spPr>
                    <a:xfrm>
                      <a:off x="0" y="0"/>
                      <a:ext cx="5580000" cy="2307607"/>
                    </a:xfrm>
                    <a:prstGeom prst="rect">
                      <a:avLst/>
                    </a:prstGeom>
                  </pic:spPr>
                </pic:pic>
              </a:graphicData>
            </a:graphic>
          </wp:inline>
        </w:drawing>
      </w:r>
    </w:p>
    <w:p w14:paraId="7C0147F4" w14:textId="77777777" w:rsidR="008F5E7F" w:rsidRDefault="00000000">
      <w:pPr>
        <w:jc w:val="center"/>
      </w:pPr>
      <w:r>
        <w:rPr>
          <w:rFonts w:eastAsia="SimSun"/>
          <w:color w:val="666666"/>
          <w:sz w:val="18"/>
        </w:rPr>
        <w:t>图 16  六个方案的分年度净收益（灰色虚线右侧为 OOS）</w:t>
      </w:r>
    </w:p>
    <w:tbl>
      <w:tblPr>
        <w:tblStyle w:val="LightGrid-Accent1"/>
        <w:tblW w:w="0" w:type="auto"/>
        <w:jc w:val="center"/>
        <w:tblLook w:val="04A0" w:firstRow="1" w:lastRow="0" w:firstColumn="1" w:lastColumn="0" w:noHBand="0" w:noVBand="1"/>
      </w:tblPr>
      <w:tblGrid>
        <w:gridCol w:w="1344"/>
        <w:gridCol w:w="1344"/>
        <w:gridCol w:w="1344"/>
        <w:gridCol w:w="1344"/>
        <w:gridCol w:w="1344"/>
        <w:gridCol w:w="1344"/>
        <w:gridCol w:w="1344"/>
      </w:tblGrid>
      <w:tr w:rsidR="008F5E7F" w14:paraId="1D624EF3" w14:textId="77777777" w:rsidTr="008F5E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8326402" w14:textId="77777777" w:rsidR="008F5E7F" w:rsidRDefault="00000000">
            <w:pPr>
              <w:jc w:val="center"/>
            </w:pPr>
            <w:r>
              <w:rPr>
                <w:rFonts w:eastAsia="SimSun"/>
                <w:sz w:val="20"/>
              </w:rPr>
              <w:t>年份</w:t>
            </w:r>
          </w:p>
        </w:tc>
        <w:tc>
          <w:tcPr>
            <w:tcW w:w="1344" w:type="dxa"/>
          </w:tcPr>
          <w:p w14:paraId="2033910C"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双层 q=0.20 ε=0.30</w:t>
            </w:r>
          </w:p>
        </w:tc>
        <w:tc>
          <w:tcPr>
            <w:tcW w:w="1344" w:type="dxa"/>
          </w:tcPr>
          <w:p w14:paraId="7550378C"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双层 q=0.10 ε=0.30</w:t>
            </w:r>
          </w:p>
        </w:tc>
        <w:tc>
          <w:tcPr>
            <w:tcW w:w="1344" w:type="dxa"/>
          </w:tcPr>
          <w:p w14:paraId="216FECEC"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双层 α off</w:t>
            </w:r>
          </w:p>
        </w:tc>
        <w:tc>
          <w:tcPr>
            <w:tcW w:w="1344" w:type="dxa"/>
          </w:tcPr>
          <w:p w14:paraId="5DE0E556"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Layer-1 canonical</w:t>
            </w:r>
          </w:p>
        </w:tc>
        <w:tc>
          <w:tcPr>
            <w:tcW w:w="1344" w:type="dxa"/>
          </w:tcPr>
          <w:p w14:paraId="17CAF8A6"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T2 债券 inv-vol</w:t>
            </w:r>
          </w:p>
        </w:tc>
        <w:tc>
          <w:tcPr>
            <w:tcW w:w="1344" w:type="dxa"/>
          </w:tcPr>
          <w:p w14:paraId="60B1BB10"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旧版 solo defensive</w:t>
            </w:r>
          </w:p>
        </w:tc>
      </w:tr>
      <w:tr w:rsidR="008F5E7F" w14:paraId="359CE651"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F7B7699" w14:textId="77777777" w:rsidR="008F5E7F" w:rsidRDefault="00000000">
            <w:pPr>
              <w:jc w:val="center"/>
            </w:pPr>
            <w:r>
              <w:rPr>
                <w:rFonts w:eastAsia="SimSun"/>
                <w:sz w:val="20"/>
              </w:rPr>
              <w:t>2019</w:t>
            </w:r>
          </w:p>
        </w:tc>
        <w:tc>
          <w:tcPr>
            <w:tcW w:w="1344" w:type="dxa"/>
          </w:tcPr>
          <w:p w14:paraId="1E81BFE0"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+5.88%</w:t>
            </w:r>
          </w:p>
        </w:tc>
        <w:tc>
          <w:tcPr>
            <w:tcW w:w="1344" w:type="dxa"/>
          </w:tcPr>
          <w:p w14:paraId="72AAA440"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+5.79%</w:t>
            </w:r>
          </w:p>
        </w:tc>
        <w:tc>
          <w:tcPr>
            <w:tcW w:w="1344" w:type="dxa"/>
          </w:tcPr>
          <w:p w14:paraId="176C2E14"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+4.99%</w:t>
            </w:r>
          </w:p>
        </w:tc>
        <w:tc>
          <w:tcPr>
            <w:tcW w:w="1344" w:type="dxa"/>
          </w:tcPr>
          <w:p w14:paraId="2C306E4A"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+5.86%</w:t>
            </w:r>
          </w:p>
        </w:tc>
        <w:tc>
          <w:tcPr>
            <w:tcW w:w="1344" w:type="dxa"/>
          </w:tcPr>
          <w:p w14:paraId="5903C920"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+1.96%</w:t>
            </w:r>
          </w:p>
        </w:tc>
        <w:tc>
          <w:tcPr>
            <w:tcW w:w="1344" w:type="dxa"/>
          </w:tcPr>
          <w:p w14:paraId="0147ABF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+6.98%</w:t>
            </w:r>
          </w:p>
        </w:tc>
      </w:tr>
      <w:tr w:rsidR="008F5E7F" w14:paraId="6343184E"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F3C851F" w14:textId="77777777" w:rsidR="008F5E7F" w:rsidRDefault="00000000">
            <w:pPr>
              <w:jc w:val="center"/>
            </w:pPr>
            <w:r>
              <w:rPr>
                <w:rFonts w:eastAsia="SimSun"/>
                <w:sz w:val="20"/>
              </w:rPr>
              <w:t>2020</w:t>
            </w:r>
          </w:p>
        </w:tc>
        <w:tc>
          <w:tcPr>
            <w:tcW w:w="1344" w:type="dxa"/>
          </w:tcPr>
          <w:p w14:paraId="2FCBD772"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+6.75%</w:t>
            </w:r>
          </w:p>
        </w:tc>
        <w:tc>
          <w:tcPr>
            <w:tcW w:w="1344" w:type="dxa"/>
          </w:tcPr>
          <w:p w14:paraId="3A14FA72"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+7.24%</w:t>
            </w:r>
          </w:p>
        </w:tc>
        <w:tc>
          <w:tcPr>
            <w:tcW w:w="1344" w:type="dxa"/>
          </w:tcPr>
          <w:p w14:paraId="51D8AC92"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+8.18%</w:t>
            </w:r>
          </w:p>
        </w:tc>
        <w:tc>
          <w:tcPr>
            <w:tcW w:w="1344" w:type="dxa"/>
          </w:tcPr>
          <w:p w14:paraId="00614FFC"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+8.79%</w:t>
            </w:r>
          </w:p>
        </w:tc>
        <w:tc>
          <w:tcPr>
            <w:tcW w:w="1344" w:type="dxa"/>
          </w:tcPr>
          <w:p w14:paraId="30461C16"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+1.54%</w:t>
            </w:r>
          </w:p>
        </w:tc>
        <w:tc>
          <w:tcPr>
            <w:tcW w:w="1344" w:type="dxa"/>
          </w:tcPr>
          <w:p w14:paraId="0CB051E9"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+5.97%</w:t>
            </w:r>
          </w:p>
        </w:tc>
      </w:tr>
      <w:tr w:rsidR="008F5E7F" w14:paraId="4B3BE756"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0085F2D" w14:textId="77777777" w:rsidR="008F5E7F" w:rsidRDefault="00000000">
            <w:pPr>
              <w:jc w:val="center"/>
            </w:pPr>
            <w:r>
              <w:rPr>
                <w:rFonts w:eastAsia="SimSun"/>
                <w:sz w:val="20"/>
              </w:rPr>
              <w:t>2021</w:t>
            </w:r>
          </w:p>
        </w:tc>
        <w:tc>
          <w:tcPr>
            <w:tcW w:w="1344" w:type="dxa"/>
          </w:tcPr>
          <w:p w14:paraId="7C37F7F8"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+5.46%</w:t>
            </w:r>
          </w:p>
        </w:tc>
        <w:tc>
          <w:tcPr>
            <w:tcW w:w="1344" w:type="dxa"/>
          </w:tcPr>
          <w:p w14:paraId="0A30CEE5"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+5.57%</w:t>
            </w:r>
          </w:p>
        </w:tc>
        <w:tc>
          <w:tcPr>
            <w:tcW w:w="1344" w:type="dxa"/>
          </w:tcPr>
          <w:p w14:paraId="0D7DECF4"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+3.71%</w:t>
            </w:r>
          </w:p>
        </w:tc>
        <w:tc>
          <w:tcPr>
            <w:tcW w:w="1344" w:type="dxa"/>
          </w:tcPr>
          <w:p w14:paraId="32F8043D"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+3.95%</w:t>
            </w:r>
          </w:p>
        </w:tc>
        <w:tc>
          <w:tcPr>
            <w:tcW w:w="1344" w:type="dxa"/>
          </w:tcPr>
          <w:p w14:paraId="6FC76974"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+4.91%</w:t>
            </w:r>
          </w:p>
        </w:tc>
        <w:tc>
          <w:tcPr>
            <w:tcW w:w="1344" w:type="dxa"/>
          </w:tcPr>
          <w:p w14:paraId="50258A6A"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+3.90%</w:t>
            </w:r>
          </w:p>
        </w:tc>
      </w:tr>
      <w:tr w:rsidR="008F5E7F" w14:paraId="41C96A23"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426BE7C" w14:textId="77777777" w:rsidR="008F5E7F" w:rsidRDefault="00000000">
            <w:pPr>
              <w:jc w:val="center"/>
            </w:pPr>
            <w:r>
              <w:rPr>
                <w:rFonts w:eastAsia="SimSun"/>
                <w:sz w:val="20"/>
              </w:rPr>
              <w:t>2022</w:t>
            </w:r>
          </w:p>
        </w:tc>
        <w:tc>
          <w:tcPr>
            <w:tcW w:w="1344" w:type="dxa"/>
          </w:tcPr>
          <w:p w14:paraId="6D6678A1"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+0.46%</w:t>
            </w:r>
          </w:p>
        </w:tc>
        <w:tc>
          <w:tcPr>
            <w:tcW w:w="1344" w:type="dxa"/>
          </w:tcPr>
          <w:p w14:paraId="0F2EB3AC"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+0.95%</w:t>
            </w:r>
          </w:p>
        </w:tc>
        <w:tc>
          <w:tcPr>
            <w:tcW w:w="1344" w:type="dxa"/>
          </w:tcPr>
          <w:p w14:paraId="0DAF98A4"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+0.25%</w:t>
            </w:r>
          </w:p>
        </w:tc>
        <w:tc>
          <w:tcPr>
            <w:tcW w:w="1344" w:type="dxa"/>
          </w:tcPr>
          <w:p w14:paraId="247F862D"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+0.14%</w:t>
            </w:r>
          </w:p>
        </w:tc>
        <w:tc>
          <w:tcPr>
            <w:tcW w:w="1344" w:type="dxa"/>
          </w:tcPr>
          <w:p w14:paraId="4B4B2179"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+1.41%</w:t>
            </w:r>
          </w:p>
        </w:tc>
        <w:tc>
          <w:tcPr>
            <w:tcW w:w="1344" w:type="dxa"/>
          </w:tcPr>
          <w:p w14:paraId="1C4FF07B"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-1.82%</w:t>
            </w:r>
          </w:p>
        </w:tc>
      </w:tr>
      <w:tr w:rsidR="008F5E7F" w14:paraId="265A4784"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6F9972E" w14:textId="77777777" w:rsidR="008F5E7F" w:rsidRDefault="00000000">
            <w:pPr>
              <w:jc w:val="center"/>
            </w:pPr>
            <w:r>
              <w:rPr>
                <w:rFonts w:eastAsia="SimSun"/>
                <w:sz w:val="20"/>
              </w:rPr>
              <w:t>2023</w:t>
            </w:r>
          </w:p>
        </w:tc>
        <w:tc>
          <w:tcPr>
            <w:tcW w:w="1344" w:type="dxa"/>
          </w:tcPr>
          <w:p w14:paraId="1029B115"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+2.57%</w:t>
            </w:r>
          </w:p>
        </w:tc>
        <w:tc>
          <w:tcPr>
            <w:tcW w:w="1344" w:type="dxa"/>
          </w:tcPr>
          <w:p w14:paraId="2A7B1F4A"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+2.64%</w:t>
            </w:r>
          </w:p>
        </w:tc>
        <w:tc>
          <w:tcPr>
            <w:tcW w:w="1344" w:type="dxa"/>
          </w:tcPr>
          <w:p w14:paraId="506C1740"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+2.22%</w:t>
            </w:r>
          </w:p>
        </w:tc>
        <w:tc>
          <w:tcPr>
            <w:tcW w:w="1344" w:type="dxa"/>
          </w:tcPr>
          <w:p w14:paraId="5DC4C305"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+2.12%</w:t>
            </w:r>
          </w:p>
        </w:tc>
        <w:tc>
          <w:tcPr>
            <w:tcW w:w="1344" w:type="dxa"/>
          </w:tcPr>
          <w:p w14:paraId="607A8FAD"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+2.76%</w:t>
            </w:r>
          </w:p>
        </w:tc>
        <w:tc>
          <w:tcPr>
            <w:tcW w:w="1344" w:type="dxa"/>
          </w:tcPr>
          <w:p w14:paraId="58E6B929"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+1.84%</w:t>
            </w:r>
          </w:p>
        </w:tc>
      </w:tr>
      <w:tr w:rsidR="008F5E7F" w14:paraId="50FB2B31"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07662D3" w14:textId="77777777" w:rsidR="008F5E7F" w:rsidRDefault="00000000">
            <w:pPr>
              <w:jc w:val="center"/>
            </w:pPr>
            <w:r>
              <w:rPr>
                <w:rFonts w:eastAsia="SimSun"/>
                <w:sz w:val="20"/>
              </w:rPr>
              <w:t>2024</w:t>
            </w:r>
          </w:p>
        </w:tc>
        <w:tc>
          <w:tcPr>
            <w:tcW w:w="1344" w:type="dxa"/>
          </w:tcPr>
          <w:p w14:paraId="08BA2A9F"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+5.71%</w:t>
            </w:r>
          </w:p>
        </w:tc>
        <w:tc>
          <w:tcPr>
            <w:tcW w:w="1344" w:type="dxa"/>
          </w:tcPr>
          <w:p w14:paraId="6901D3E0"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+5.84%</w:t>
            </w:r>
          </w:p>
        </w:tc>
        <w:tc>
          <w:tcPr>
            <w:tcW w:w="1344" w:type="dxa"/>
          </w:tcPr>
          <w:p w14:paraId="062A2879"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+5.85%</w:t>
            </w:r>
          </w:p>
        </w:tc>
        <w:tc>
          <w:tcPr>
            <w:tcW w:w="1344" w:type="dxa"/>
          </w:tcPr>
          <w:p w14:paraId="1A5F533F"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+5.80%</w:t>
            </w:r>
          </w:p>
        </w:tc>
        <w:tc>
          <w:tcPr>
            <w:tcW w:w="1344" w:type="dxa"/>
          </w:tcPr>
          <w:p w14:paraId="56094E95"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+4.80%</w:t>
            </w:r>
          </w:p>
        </w:tc>
        <w:tc>
          <w:tcPr>
            <w:tcW w:w="1344" w:type="dxa"/>
          </w:tcPr>
          <w:p w14:paraId="3E189AE5"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+3.17%</w:t>
            </w:r>
          </w:p>
        </w:tc>
      </w:tr>
      <w:tr w:rsidR="008F5E7F" w14:paraId="48D46E52"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EB4D523" w14:textId="77777777" w:rsidR="008F5E7F" w:rsidRDefault="00000000">
            <w:pPr>
              <w:jc w:val="center"/>
            </w:pPr>
            <w:r>
              <w:rPr>
                <w:rFonts w:eastAsia="SimSun"/>
                <w:sz w:val="20"/>
              </w:rPr>
              <w:t>2025</w:t>
            </w:r>
          </w:p>
        </w:tc>
        <w:tc>
          <w:tcPr>
            <w:tcW w:w="1344" w:type="dxa"/>
          </w:tcPr>
          <w:p w14:paraId="0A616D7E"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+2.54%</w:t>
            </w:r>
          </w:p>
        </w:tc>
        <w:tc>
          <w:tcPr>
            <w:tcW w:w="1344" w:type="dxa"/>
          </w:tcPr>
          <w:p w14:paraId="56B24314"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+2.53%</w:t>
            </w:r>
          </w:p>
        </w:tc>
        <w:tc>
          <w:tcPr>
            <w:tcW w:w="1344" w:type="dxa"/>
          </w:tcPr>
          <w:p w14:paraId="0FC43AF9"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+2.67%</w:t>
            </w:r>
          </w:p>
        </w:tc>
        <w:tc>
          <w:tcPr>
            <w:tcW w:w="1344" w:type="dxa"/>
          </w:tcPr>
          <w:p w14:paraId="76171ABA"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+2.60%</w:t>
            </w:r>
          </w:p>
        </w:tc>
        <w:tc>
          <w:tcPr>
            <w:tcW w:w="1344" w:type="dxa"/>
          </w:tcPr>
          <w:p w14:paraId="6F693B3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+0.77%</w:t>
            </w:r>
          </w:p>
        </w:tc>
        <w:tc>
          <w:tcPr>
            <w:tcW w:w="1344" w:type="dxa"/>
          </w:tcPr>
          <w:p w14:paraId="3311B188"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+1.02%</w:t>
            </w:r>
          </w:p>
        </w:tc>
      </w:tr>
      <w:tr w:rsidR="008F5E7F" w14:paraId="20020600"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1899174F" w14:textId="77777777" w:rsidR="008F5E7F" w:rsidRDefault="00000000">
            <w:pPr>
              <w:jc w:val="center"/>
            </w:pPr>
            <w:r>
              <w:rPr>
                <w:rFonts w:eastAsia="SimSun"/>
                <w:sz w:val="20"/>
              </w:rPr>
              <w:t>2026</w:t>
            </w:r>
          </w:p>
        </w:tc>
        <w:tc>
          <w:tcPr>
            <w:tcW w:w="1344" w:type="dxa"/>
          </w:tcPr>
          <w:p w14:paraId="441FEB2B"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+0.96%</w:t>
            </w:r>
          </w:p>
        </w:tc>
        <w:tc>
          <w:tcPr>
            <w:tcW w:w="1344" w:type="dxa"/>
          </w:tcPr>
          <w:p w14:paraId="178DB6AD"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+0.84%</w:t>
            </w:r>
          </w:p>
        </w:tc>
        <w:tc>
          <w:tcPr>
            <w:tcW w:w="1344" w:type="dxa"/>
          </w:tcPr>
          <w:p w14:paraId="32A5CD76"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+1.03%</w:t>
            </w:r>
          </w:p>
        </w:tc>
        <w:tc>
          <w:tcPr>
            <w:tcW w:w="1344" w:type="dxa"/>
          </w:tcPr>
          <w:p w14:paraId="1DC7EDB4"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+1.03%</w:t>
            </w:r>
          </w:p>
        </w:tc>
        <w:tc>
          <w:tcPr>
            <w:tcW w:w="1344" w:type="dxa"/>
          </w:tcPr>
          <w:p w14:paraId="19F6D0F5"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+1.18%</w:t>
            </w:r>
          </w:p>
        </w:tc>
        <w:tc>
          <w:tcPr>
            <w:tcW w:w="1344" w:type="dxa"/>
          </w:tcPr>
          <w:p w14:paraId="2CBB142E"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+0.09%</w:t>
            </w:r>
          </w:p>
        </w:tc>
      </w:tr>
    </w:tbl>
    <w:p w14:paraId="08ACE6F3" w14:textId="77777777" w:rsidR="008F5E7F" w:rsidRDefault="00000000">
      <w:pPr>
        <w:spacing w:after="80" w:line="336" w:lineRule="auto"/>
        <w:ind w:firstLine="454"/>
      </w:pPr>
      <w:r>
        <w:rPr>
          <w:rFonts w:eastAsia="SimSun"/>
        </w:rPr>
        <w:t>OOS 年（2024 / 2025）表现最好的年份出现在 2024 全年：所有含 Layer-1 的方案 CAGR 接近 +5.8%，且回撤面板都被压在 −0.4% 以内。2025 年上半年是所有方案的调整期，四个非债券方案累计收益 +1.4% 左右，与 T2 债券的 +0.47% 相比呈现出温和的跨资产平衡效果——这正是 Layer-1 组间风险预算希望达到的“抗环境切换”能力。</w:t>
      </w:r>
    </w:p>
    <w:p w14:paraId="6C24AD8D" w14:textId="77777777" w:rsidR="008F5E7F" w:rsidRDefault="00000000">
      <w:pPr>
        <w:pStyle w:val="Heading1"/>
      </w:pPr>
      <w:r>
        <w:rPr>
          <w:rFonts w:ascii="SimHei" w:eastAsia="SimHei" w:hAnsi="SimHei"/>
        </w:rPr>
        <w:t>五、与旧版 Final Report 的量化对比</w:t>
      </w:r>
    </w:p>
    <w:p w14:paraId="5622D9AE" w14:textId="77777777" w:rsidR="008F5E7F" w:rsidRDefault="00000000">
      <w:pPr>
        <w:spacing w:after="80" w:line="336" w:lineRule="auto"/>
        <w:ind w:firstLine="454"/>
      </w:pPr>
      <w:r>
        <w:rPr>
          <w:rFonts w:eastAsia="SimSun"/>
        </w:rPr>
        <w:t>把双层 q=0.20 ε=0.30（落地方案）与旧版 solo defensive（Phase 11.2 finalist）放到同一张表上，两者共同起点均为 2019-05-31，指标都在 10 bp / 单边成本口径下计算。</w:t>
      </w:r>
    </w:p>
    <w:p w14:paraId="1205D1CA" w14:textId="77777777" w:rsidR="008F5E7F" w:rsidRDefault="00000000">
      <w:pPr>
        <w:spacing w:after="80" w:line="336" w:lineRule="auto"/>
      </w:pPr>
      <w:r>
        <w:rPr>
          <w:rFonts w:eastAsia="SimSun"/>
        </w:rPr>
        <w:t>样本内窗口：</w:t>
      </w:r>
    </w:p>
    <w:tbl>
      <w:tblPr>
        <w:tblStyle w:val="LightGrid-Accent1"/>
        <w:tblW w:w="0" w:type="auto"/>
        <w:jc w:val="center"/>
        <w:tblLook w:val="04A0" w:firstRow="1" w:lastRow="0" w:firstColumn="1" w:lastColumn="0" w:noHBand="0" w:noVBand="1"/>
      </w:tblPr>
      <w:tblGrid>
        <w:gridCol w:w="2551"/>
        <w:gridCol w:w="2268"/>
        <w:gridCol w:w="2268"/>
        <w:gridCol w:w="1701"/>
      </w:tblGrid>
      <w:tr w:rsidR="008F5E7F" w14:paraId="5CEB0977" w14:textId="77777777" w:rsidTr="008F5E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44DE33D" w14:textId="77777777" w:rsidR="008F5E7F" w:rsidRDefault="00000000">
            <w:pPr>
              <w:jc w:val="center"/>
            </w:pPr>
            <w:r>
              <w:rPr>
                <w:rFonts w:eastAsia="SimSun"/>
                <w:sz w:val="20"/>
              </w:rPr>
              <w:t>指标</w:t>
            </w:r>
          </w:p>
        </w:tc>
        <w:tc>
          <w:tcPr>
            <w:tcW w:w="2268" w:type="dxa"/>
          </w:tcPr>
          <w:p w14:paraId="3B135F1F"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旧版 solo defensive</w:t>
            </w:r>
          </w:p>
        </w:tc>
        <w:tc>
          <w:tcPr>
            <w:tcW w:w="2268" w:type="dxa"/>
          </w:tcPr>
          <w:p w14:paraId="7134F86F"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双层 q=0.20 ε=0.30</w:t>
            </w:r>
          </w:p>
        </w:tc>
        <w:tc>
          <w:tcPr>
            <w:tcW w:w="1701" w:type="dxa"/>
          </w:tcPr>
          <w:p w14:paraId="182BA1CE"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Δ</w:t>
            </w:r>
          </w:p>
        </w:tc>
      </w:tr>
      <w:tr w:rsidR="008F5E7F" w14:paraId="2B6F7F5E"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FD70BD2" w14:textId="77777777" w:rsidR="008F5E7F" w:rsidRDefault="00000000">
            <w:pPr>
              <w:jc w:val="center"/>
            </w:pPr>
            <w:r>
              <w:rPr>
                <w:rFonts w:eastAsia="SimSun"/>
                <w:sz w:val="20"/>
              </w:rPr>
              <w:t>样本内 · 净夏普</w:t>
            </w:r>
          </w:p>
        </w:tc>
        <w:tc>
          <w:tcPr>
            <w:tcW w:w="2268" w:type="dxa"/>
          </w:tcPr>
          <w:p w14:paraId="37ED5F3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+0.931</w:t>
            </w:r>
          </w:p>
        </w:tc>
        <w:tc>
          <w:tcPr>
            <w:tcW w:w="2268" w:type="dxa"/>
          </w:tcPr>
          <w:p w14:paraId="286A9859"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+1.577</w:t>
            </w:r>
          </w:p>
        </w:tc>
        <w:tc>
          <w:tcPr>
            <w:tcW w:w="1701" w:type="dxa"/>
          </w:tcPr>
          <w:p w14:paraId="1C63603B"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+0.65</w:t>
            </w:r>
          </w:p>
        </w:tc>
      </w:tr>
      <w:tr w:rsidR="008F5E7F" w14:paraId="6E70642B"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F75FB02" w14:textId="77777777" w:rsidR="008F5E7F" w:rsidRDefault="00000000">
            <w:pPr>
              <w:jc w:val="center"/>
            </w:pPr>
            <w:r>
              <w:rPr>
                <w:rFonts w:eastAsia="SimSun"/>
                <w:sz w:val="20"/>
              </w:rPr>
              <w:t>样本内 · CAGR</w:t>
            </w:r>
          </w:p>
        </w:tc>
        <w:tc>
          <w:tcPr>
            <w:tcW w:w="2268" w:type="dxa"/>
          </w:tcPr>
          <w:p w14:paraId="1C2B6EF8"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+3.44%</w:t>
            </w:r>
          </w:p>
        </w:tc>
        <w:tc>
          <w:tcPr>
            <w:tcW w:w="2268" w:type="dxa"/>
          </w:tcPr>
          <w:p w14:paraId="494CE182"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+4.24%</w:t>
            </w:r>
          </w:p>
        </w:tc>
        <w:tc>
          <w:tcPr>
            <w:tcW w:w="1701" w:type="dxa"/>
          </w:tcPr>
          <w:p w14:paraId="257401A9"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+0.80 pp</w:t>
            </w:r>
          </w:p>
        </w:tc>
      </w:tr>
      <w:tr w:rsidR="008F5E7F" w14:paraId="46EB3A14"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8BFB32A" w14:textId="77777777" w:rsidR="008F5E7F" w:rsidRDefault="00000000">
            <w:pPr>
              <w:jc w:val="center"/>
            </w:pPr>
            <w:r>
              <w:rPr>
                <w:rFonts w:eastAsia="SimSun"/>
                <w:sz w:val="20"/>
              </w:rPr>
              <w:t>样本内 · 最大回撤</w:t>
            </w:r>
          </w:p>
        </w:tc>
        <w:tc>
          <w:tcPr>
            <w:tcW w:w="2268" w:type="dxa"/>
          </w:tcPr>
          <w:p w14:paraId="1D49418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-5.20%</w:t>
            </w:r>
          </w:p>
        </w:tc>
        <w:tc>
          <w:tcPr>
            <w:tcW w:w="2268" w:type="dxa"/>
          </w:tcPr>
          <w:p w14:paraId="1E63A7C5"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-2.54%</w:t>
            </w:r>
          </w:p>
        </w:tc>
        <w:tc>
          <w:tcPr>
            <w:tcW w:w="1701" w:type="dxa"/>
          </w:tcPr>
          <w:p w14:paraId="7027EE3B"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+2.66 pp</w:t>
            </w:r>
          </w:p>
        </w:tc>
      </w:tr>
      <w:tr w:rsidR="008F5E7F" w14:paraId="29BE5254"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91FF9A4" w14:textId="77777777" w:rsidR="008F5E7F" w:rsidRDefault="00000000">
            <w:pPr>
              <w:jc w:val="center"/>
            </w:pPr>
            <w:r>
              <w:rPr>
                <w:rFonts w:eastAsia="SimSun"/>
                <w:sz w:val="20"/>
              </w:rPr>
              <w:t>样本内 · 年化波动</w:t>
            </w:r>
          </w:p>
        </w:tc>
        <w:tc>
          <w:tcPr>
            <w:tcW w:w="2268" w:type="dxa"/>
          </w:tcPr>
          <w:p w14:paraId="6AB8E364"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+3.93%</w:t>
            </w:r>
          </w:p>
        </w:tc>
        <w:tc>
          <w:tcPr>
            <w:tcW w:w="2268" w:type="dxa"/>
          </w:tcPr>
          <w:p w14:paraId="51F852DC"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+2.90%</w:t>
            </w:r>
          </w:p>
        </w:tc>
        <w:tc>
          <w:tcPr>
            <w:tcW w:w="1701" w:type="dxa"/>
          </w:tcPr>
          <w:p w14:paraId="3E8FB277"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-1.02 pp</w:t>
            </w:r>
          </w:p>
        </w:tc>
      </w:tr>
      <w:tr w:rsidR="008F5E7F" w14:paraId="74461D29"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56924DB" w14:textId="77777777" w:rsidR="008F5E7F" w:rsidRDefault="00000000">
            <w:pPr>
              <w:jc w:val="center"/>
            </w:pPr>
            <w:r>
              <w:rPr>
                <w:rFonts w:eastAsia="SimSun"/>
                <w:sz w:val="20"/>
              </w:rPr>
              <w:t>样本内 · Calmar</w:t>
            </w:r>
          </w:p>
        </w:tc>
        <w:tc>
          <w:tcPr>
            <w:tcW w:w="2268" w:type="dxa"/>
          </w:tcPr>
          <w:p w14:paraId="2DB78BD9"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0.66</w:t>
            </w:r>
          </w:p>
        </w:tc>
        <w:tc>
          <w:tcPr>
            <w:tcW w:w="2268" w:type="dxa"/>
          </w:tcPr>
          <w:p w14:paraId="757CD6B3"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1.67</w:t>
            </w:r>
          </w:p>
        </w:tc>
        <w:tc>
          <w:tcPr>
            <w:tcW w:w="1701" w:type="dxa"/>
          </w:tcPr>
          <w:p w14:paraId="51458D2F"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+1.01</w:t>
            </w:r>
          </w:p>
        </w:tc>
      </w:tr>
    </w:tbl>
    <w:p w14:paraId="40D9ACF9" w14:textId="77777777" w:rsidR="008F5E7F" w:rsidRDefault="008F5E7F"/>
    <w:p w14:paraId="79CDA8B1" w14:textId="77777777" w:rsidR="008F5E7F" w:rsidRDefault="00000000">
      <w:pPr>
        <w:spacing w:after="80" w:line="336" w:lineRule="auto"/>
      </w:pPr>
      <w:r>
        <w:rPr>
          <w:rFonts w:eastAsia="SimSun"/>
        </w:rPr>
        <w:t>样本外窗口：</w:t>
      </w:r>
    </w:p>
    <w:tbl>
      <w:tblPr>
        <w:tblStyle w:val="LightGrid-Accent1"/>
        <w:tblW w:w="0" w:type="auto"/>
        <w:jc w:val="center"/>
        <w:tblLook w:val="04A0" w:firstRow="1" w:lastRow="0" w:firstColumn="1" w:lastColumn="0" w:noHBand="0" w:noVBand="1"/>
      </w:tblPr>
      <w:tblGrid>
        <w:gridCol w:w="2551"/>
        <w:gridCol w:w="2268"/>
        <w:gridCol w:w="2268"/>
        <w:gridCol w:w="1701"/>
      </w:tblGrid>
      <w:tr w:rsidR="008F5E7F" w14:paraId="074F1673" w14:textId="77777777" w:rsidTr="008F5E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1CD7F24" w14:textId="77777777" w:rsidR="008F5E7F" w:rsidRDefault="00000000">
            <w:pPr>
              <w:jc w:val="center"/>
            </w:pPr>
            <w:r>
              <w:rPr>
                <w:rFonts w:eastAsia="SimSun"/>
                <w:sz w:val="20"/>
              </w:rPr>
              <w:t>指标</w:t>
            </w:r>
          </w:p>
        </w:tc>
        <w:tc>
          <w:tcPr>
            <w:tcW w:w="2268" w:type="dxa"/>
          </w:tcPr>
          <w:p w14:paraId="2393770D"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旧版 solo defensive</w:t>
            </w:r>
          </w:p>
        </w:tc>
        <w:tc>
          <w:tcPr>
            <w:tcW w:w="2268" w:type="dxa"/>
          </w:tcPr>
          <w:p w14:paraId="6B4AE192"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双层 q=0.20 ε=0.30</w:t>
            </w:r>
          </w:p>
        </w:tc>
        <w:tc>
          <w:tcPr>
            <w:tcW w:w="1701" w:type="dxa"/>
          </w:tcPr>
          <w:p w14:paraId="32BC928E"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Δ</w:t>
            </w:r>
          </w:p>
        </w:tc>
      </w:tr>
      <w:tr w:rsidR="008F5E7F" w14:paraId="48EFEE48"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01CEA7C" w14:textId="77777777" w:rsidR="008F5E7F" w:rsidRDefault="00000000">
            <w:pPr>
              <w:jc w:val="center"/>
            </w:pPr>
            <w:r>
              <w:rPr>
                <w:rFonts w:eastAsia="SimSun"/>
                <w:sz w:val="20"/>
              </w:rPr>
              <w:t>样本外 · 净夏普</w:t>
            </w:r>
          </w:p>
        </w:tc>
        <w:tc>
          <w:tcPr>
            <w:tcW w:w="2268" w:type="dxa"/>
          </w:tcPr>
          <w:p w14:paraId="705C4D11"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+2.231</w:t>
            </w:r>
          </w:p>
        </w:tc>
        <w:tc>
          <w:tcPr>
            <w:tcW w:w="2268" w:type="dxa"/>
          </w:tcPr>
          <w:p w14:paraId="200583F5"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+3.621</w:t>
            </w:r>
          </w:p>
        </w:tc>
        <w:tc>
          <w:tcPr>
            <w:tcW w:w="1701" w:type="dxa"/>
          </w:tcPr>
          <w:p w14:paraId="0EA41CC2"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+1.39</w:t>
            </w:r>
          </w:p>
        </w:tc>
      </w:tr>
      <w:tr w:rsidR="008F5E7F" w14:paraId="2576356D"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79515A6" w14:textId="77777777" w:rsidR="008F5E7F" w:rsidRDefault="00000000">
            <w:pPr>
              <w:jc w:val="center"/>
            </w:pPr>
            <w:r>
              <w:rPr>
                <w:rFonts w:eastAsia="SimSun"/>
                <w:sz w:val="20"/>
              </w:rPr>
              <w:t>样本外 · CAGR</w:t>
            </w:r>
          </w:p>
        </w:tc>
        <w:tc>
          <w:tcPr>
            <w:tcW w:w="2268" w:type="dxa"/>
          </w:tcPr>
          <w:p w14:paraId="6D6C64CF"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+2.19%</w:t>
            </w:r>
          </w:p>
        </w:tc>
        <w:tc>
          <w:tcPr>
            <w:tcW w:w="2268" w:type="dxa"/>
          </w:tcPr>
          <w:p w14:paraId="72643B6D"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+4.48%</w:t>
            </w:r>
          </w:p>
        </w:tc>
        <w:tc>
          <w:tcPr>
            <w:tcW w:w="1701" w:type="dxa"/>
          </w:tcPr>
          <w:p w14:paraId="0A48C9E6"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+2.29 pp</w:t>
            </w:r>
          </w:p>
        </w:tc>
      </w:tr>
      <w:tr w:rsidR="008F5E7F" w14:paraId="613F34AD"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2EC6B44" w14:textId="77777777" w:rsidR="008F5E7F" w:rsidRDefault="00000000">
            <w:pPr>
              <w:jc w:val="center"/>
            </w:pPr>
            <w:r>
              <w:rPr>
                <w:rFonts w:eastAsia="SimSun"/>
                <w:sz w:val="20"/>
              </w:rPr>
              <w:t>样本外 · 最大回撤</w:t>
            </w:r>
          </w:p>
        </w:tc>
        <w:tc>
          <w:tcPr>
            <w:tcW w:w="2268" w:type="dxa"/>
          </w:tcPr>
          <w:p w14:paraId="02DBF349"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-0.78%</w:t>
            </w:r>
          </w:p>
        </w:tc>
        <w:tc>
          <w:tcPr>
            <w:tcW w:w="2268" w:type="dxa"/>
          </w:tcPr>
          <w:p w14:paraId="4B10FA5B"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-0.36%</w:t>
            </w:r>
          </w:p>
        </w:tc>
        <w:tc>
          <w:tcPr>
            <w:tcW w:w="1701" w:type="dxa"/>
          </w:tcPr>
          <w:p w14:paraId="65614FCC"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+0.43 pp</w:t>
            </w:r>
          </w:p>
        </w:tc>
      </w:tr>
      <w:tr w:rsidR="008F5E7F" w14:paraId="7F87DAD5"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50D4BC72" w14:textId="77777777" w:rsidR="008F5E7F" w:rsidRDefault="00000000">
            <w:pPr>
              <w:jc w:val="center"/>
            </w:pPr>
            <w:r>
              <w:rPr>
                <w:rFonts w:eastAsia="SimSun"/>
                <w:sz w:val="20"/>
              </w:rPr>
              <w:t>样本外 · 年化波动</w:t>
            </w:r>
          </w:p>
        </w:tc>
        <w:tc>
          <w:tcPr>
            <w:tcW w:w="2268" w:type="dxa"/>
          </w:tcPr>
          <w:p w14:paraId="0C4E34F6"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+0.99%</w:t>
            </w:r>
          </w:p>
        </w:tc>
        <w:tc>
          <w:tcPr>
            <w:tcW w:w="2268" w:type="dxa"/>
          </w:tcPr>
          <w:p w14:paraId="2F528926"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+1.25%</w:t>
            </w:r>
          </w:p>
        </w:tc>
        <w:tc>
          <w:tcPr>
            <w:tcW w:w="1701" w:type="dxa"/>
          </w:tcPr>
          <w:p w14:paraId="0C645119"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+0.27 pp</w:t>
            </w:r>
          </w:p>
        </w:tc>
      </w:tr>
      <w:tr w:rsidR="008F5E7F" w14:paraId="2AA6C97D"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9E32AC5" w14:textId="77777777" w:rsidR="008F5E7F" w:rsidRDefault="00000000">
            <w:pPr>
              <w:jc w:val="center"/>
            </w:pPr>
            <w:r>
              <w:rPr>
                <w:rFonts w:eastAsia="SimSun"/>
                <w:sz w:val="20"/>
              </w:rPr>
              <w:t>样本外 · Calmar</w:t>
            </w:r>
          </w:p>
        </w:tc>
        <w:tc>
          <w:tcPr>
            <w:tcW w:w="2268" w:type="dxa"/>
          </w:tcPr>
          <w:p w14:paraId="3AEC981D"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2.79</w:t>
            </w:r>
          </w:p>
        </w:tc>
        <w:tc>
          <w:tcPr>
            <w:tcW w:w="2268" w:type="dxa"/>
          </w:tcPr>
          <w:p w14:paraId="2194747E"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12.55</w:t>
            </w:r>
          </w:p>
        </w:tc>
        <w:tc>
          <w:tcPr>
            <w:tcW w:w="1701" w:type="dxa"/>
          </w:tcPr>
          <w:p w14:paraId="5745C516"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+9.76</w:t>
            </w:r>
          </w:p>
        </w:tc>
      </w:tr>
    </w:tbl>
    <w:p w14:paraId="5B8C9AD9" w14:textId="77777777" w:rsidR="008F5E7F" w:rsidRDefault="008F5E7F"/>
    <w:p w14:paraId="3C1D59E3" w14:textId="77777777" w:rsidR="008F5E7F" w:rsidRDefault="00000000">
      <w:pPr>
        <w:spacing w:after="80" w:line="336" w:lineRule="auto"/>
      </w:pPr>
      <w:r>
        <w:rPr>
          <w:rFonts w:eastAsia="SimSun"/>
        </w:rPr>
        <w:t>全窗窗口：</w:t>
      </w:r>
    </w:p>
    <w:tbl>
      <w:tblPr>
        <w:tblStyle w:val="LightGrid-Accent1"/>
        <w:tblW w:w="0" w:type="auto"/>
        <w:jc w:val="center"/>
        <w:tblLook w:val="04A0" w:firstRow="1" w:lastRow="0" w:firstColumn="1" w:lastColumn="0" w:noHBand="0" w:noVBand="1"/>
      </w:tblPr>
      <w:tblGrid>
        <w:gridCol w:w="2551"/>
        <w:gridCol w:w="2268"/>
        <w:gridCol w:w="2268"/>
        <w:gridCol w:w="1701"/>
      </w:tblGrid>
      <w:tr w:rsidR="008F5E7F" w14:paraId="55C819BB" w14:textId="77777777" w:rsidTr="008F5E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D0E3840" w14:textId="77777777" w:rsidR="008F5E7F" w:rsidRDefault="00000000">
            <w:pPr>
              <w:jc w:val="center"/>
            </w:pPr>
            <w:r>
              <w:rPr>
                <w:rFonts w:eastAsia="SimSun"/>
                <w:sz w:val="20"/>
              </w:rPr>
              <w:t>指标</w:t>
            </w:r>
          </w:p>
        </w:tc>
        <w:tc>
          <w:tcPr>
            <w:tcW w:w="2268" w:type="dxa"/>
          </w:tcPr>
          <w:p w14:paraId="3590C079"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旧版 solo defensive</w:t>
            </w:r>
          </w:p>
        </w:tc>
        <w:tc>
          <w:tcPr>
            <w:tcW w:w="2268" w:type="dxa"/>
          </w:tcPr>
          <w:p w14:paraId="0D34B7E7"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双层 q=0.20 ε=0.30</w:t>
            </w:r>
          </w:p>
        </w:tc>
        <w:tc>
          <w:tcPr>
            <w:tcW w:w="1701" w:type="dxa"/>
          </w:tcPr>
          <w:p w14:paraId="3A7FD982"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Δ</w:t>
            </w:r>
          </w:p>
        </w:tc>
      </w:tr>
      <w:tr w:rsidR="008F5E7F" w14:paraId="764ED307"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88FFC0A" w14:textId="77777777" w:rsidR="008F5E7F" w:rsidRDefault="00000000">
            <w:pPr>
              <w:jc w:val="center"/>
            </w:pPr>
            <w:r>
              <w:rPr>
                <w:rFonts w:eastAsia="SimSun"/>
                <w:sz w:val="20"/>
              </w:rPr>
              <w:t>全窗 · 净夏普</w:t>
            </w:r>
          </w:p>
        </w:tc>
        <w:tc>
          <w:tcPr>
            <w:tcW w:w="2268" w:type="dxa"/>
          </w:tcPr>
          <w:p w14:paraId="46C4F50F"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+0.959</w:t>
            </w:r>
          </w:p>
        </w:tc>
        <w:tc>
          <w:tcPr>
            <w:tcW w:w="2268" w:type="dxa"/>
          </w:tcPr>
          <w:p w14:paraId="0CFA09CF"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+1.768</w:t>
            </w:r>
          </w:p>
        </w:tc>
        <w:tc>
          <w:tcPr>
            <w:tcW w:w="1701" w:type="dxa"/>
          </w:tcPr>
          <w:p w14:paraId="6F56F701"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+0.81</w:t>
            </w:r>
          </w:p>
        </w:tc>
      </w:tr>
      <w:tr w:rsidR="008F5E7F" w14:paraId="2005B80B"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902A283" w14:textId="77777777" w:rsidR="008F5E7F" w:rsidRDefault="00000000">
            <w:pPr>
              <w:jc w:val="center"/>
            </w:pPr>
            <w:r>
              <w:rPr>
                <w:rFonts w:eastAsia="SimSun"/>
                <w:sz w:val="20"/>
              </w:rPr>
              <w:t>全窗 · CAGR</w:t>
            </w:r>
          </w:p>
        </w:tc>
        <w:tc>
          <w:tcPr>
            <w:tcW w:w="2268" w:type="dxa"/>
          </w:tcPr>
          <w:p w14:paraId="052155E2"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+3.04%</w:t>
            </w:r>
          </w:p>
        </w:tc>
        <w:tc>
          <w:tcPr>
            <w:tcW w:w="2268" w:type="dxa"/>
          </w:tcPr>
          <w:p w14:paraId="6AE86DDB"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+4.10%</w:t>
            </w:r>
          </w:p>
        </w:tc>
        <w:tc>
          <w:tcPr>
            <w:tcW w:w="1701" w:type="dxa"/>
          </w:tcPr>
          <w:p w14:paraId="71CB5195"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+1.07 pp</w:t>
            </w:r>
          </w:p>
        </w:tc>
      </w:tr>
      <w:tr w:rsidR="008F5E7F" w14:paraId="2E88CBAB"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6723BAA" w14:textId="77777777" w:rsidR="008F5E7F" w:rsidRDefault="00000000">
            <w:pPr>
              <w:jc w:val="center"/>
            </w:pPr>
            <w:r>
              <w:rPr>
                <w:rFonts w:eastAsia="SimSun"/>
                <w:sz w:val="20"/>
              </w:rPr>
              <w:t>全窗 · 最大回撤</w:t>
            </w:r>
          </w:p>
        </w:tc>
        <w:tc>
          <w:tcPr>
            <w:tcW w:w="2268" w:type="dxa"/>
          </w:tcPr>
          <w:p w14:paraId="3767AF0B"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-5.20%</w:t>
            </w:r>
          </w:p>
        </w:tc>
        <w:tc>
          <w:tcPr>
            <w:tcW w:w="2268" w:type="dxa"/>
          </w:tcPr>
          <w:p w14:paraId="1FB2FB03"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-2.54%</w:t>
            </w:r>
          </w:p>
        </w:tc>
        <w:tc>
          <w:tcPr>
            <w:tcW w:w="1701" w:type="dxa"/>
          </w:tcPr>
          <w:p w14:paraId="3054568A"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+2.66 pp</w:t>
            </w:r>
          </w:p>
        </w:tc>
      </w:tr>
      <w:tr w:rsidR="008F5E7F" w14:paraId="29F7F57E"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50FA294D" w14:textId="77777777" w:rsidR="008F5E7F" w:rsidRDefault="00000000">
            <w:pPr>
              <w:jc w:val="center"/>
            </w:pPr>
            <w:r>
              <w:rPr>
                <w:rFonts w:eastAsia="SimSun"/>
                <w:sz w:val="20"/>
              </w:rPr>
              <w:t>全窗 · 年化波动</w:t>
            </w:r>
          </w:p>
        </w:tc>
        <w:tc>
          <w:tcPr>
            <w:tcW w:w="2268" w:type="dxa"/>
          </w:tcPr>
          <w:p w14:paraId="280F4212"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+3.42%</w:t>
            </w:r>
          </w:p>
        </w:tc>
        <w:tc>
          <w:tcPr>
            <w:tcW w:w="2268" w:type="dxa"/>
          </w:tcPr>
          <w:p w14:paraId="6C6670DF"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+2.58%</w:t>
            </w:r>
          </w:p>
        </w:tc>
        <w:tc>
          <w:tcPr>
            <w:tcW w:w="1701" w:type="dxa"/>
          </w:tcPr>
          <w:p w14:paraId="31050E07"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-0.84 pp</w:t>
            </w:r>
          </w:p>
        </w:tc>
      </w:tr>
      <w:tr w:rsidR="008F5E7F" w14:paraId="3D248857"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891992C" w14:textId="77777777" w:rsidR="008F5E7F" w:rsidRDefault="00000000">
            <w:pPr>
              <w:jc w:val="center"/>
            </w:pPr>
            <w:r>
              <w:rPr>
                <w:rFonts w:eastAsia="SimSun"/>
                <w:sz w:val="20"/>
              </w:rPr>
              <w:t>全窗 · Calmar</w:t>
            </w:r>
          </w:p>
        </w:tc>
        <w:tc>
          <w:tcPr>
            <w:tcW w:w="2268" w:type="dxa"/>
          </w:tcPr>
          <w:p w14:paraId="74AE01E0"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0.58</w:t>
            </w:r>
          </w:p>
        </w:tc>
        <w:tc>
          <w:tcPr>
            <w:tcW w:w="2268" w:type="dxa"/>
          </w:tcPr>
          <w:p w14:paraId="528AE6DC"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1.61</w:t>
            </w:r>
          </w:p>
        </w:tc>
        <w:tc>
          <w:tcPr>
            <w:tcW w:w="1701" w:type="dxa"/>
          </w:tcPr>
          <w:p w14:paraId="35C762C2"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+1.03</w:t>
            </w:r>
          </w:p>
        </w:tc>
      </w:tr>
    </w:tbl>
    <w:p w14:paraId="3D8F3F9B" w14:textId="77777777" w:rsidR="008F5E7F" w:rsidRDefault="008F5E7F"/>
    <w:p w14:paraId="3B87FA85" w14:textId="77777777" w:rsidR="008F5E7F" w:rsidRDefault="00000000">
      <w:pPr>
        <w:spacing w:after="80" w:line="336" w:lineRule="auto"/>
        <w:ind w:firstLine="454"/>
      </w:pPr>
      <w:r>
        <w:rPr>
          <w:rFonts w:eastAsia="SimSun"/>
        </w:rPr>
        <w:t>综合结论：双层结构相较旧版 solo defensive 是一次结构性升级——</w:t>
      </w:r>
    </w:p>
    <w:p w14:paraId="6AA298A8" w14:textId="77777777" w:rsidR="008F5E7F" w:rsidRDefault="00000000">
      <w:pPr>
        <w:pStyle w:val="ListBullet"/>
        <w:spacing w:after="40" w:line="312" w:lineRule="auto"/>
      </w:pPr>
      <w:r>
        <w:rPr>
          <w:rFonts w:eastAsia="SimSun"/>
        </w:rPr>
        <w:t>OOS 净夏普从 +2.23 抬升到 +3.62（Δ +1.39）。</w:t>
      </w:r>
    </w:p>
    <w:p w14:paraId="7AC744C9" w14:textId="77777777" w:rsidR="008F5E7F" w:rsidRDefault="00000000">
      <w:pPr>
        <w:pStyle w:val="ListBullet"/>
        <w:spacing w:after="40" w:line="312" w:lineRule="auto"/>
      </w:pPr>
      <w:r>
        <w:rPr>
          <w:rFonts w:eastAsia="SimSun"/>
        </w:rPr>
        <w:t>OOS CAGR 从 +2.19% 提升到 +4.48%（Δ +2.29 pp），并且 CAGR 端从“略高于债券”变成“显著跑赢债券”。</w:t>
      </w:r>
    </w:p>
    <w:p w14:paraId="49A6D877" w14:textId="77777777" w:rsidR="008F5E7F" w:rsidRDefault="00000000">
      <w:pPr>
        <w:pStyle w:val="ListBullet"/>
        <w:spacing w:after="40" w:line="312" w:lineRule="auto"/>
      </w:pPr>
      <w:r>
        <w:rPr>
          <w:rFonts w:eastAsia="SimSun"/>
        </w:rPr>
        <w:t>OOS 最大回撤从 -0.78% 变浅到 -0.36%（Δ +0.43 pp）。</w:t>
      </w:r>
    </w:p>
    <w:p w14:paraId="20CB3A67" w14:textId="77777777" w:rsidR="008F5E7F" w:rsidRDefault="00000000">
      <w:pPr>
        <w:pStyle w:val="ListBullet"/>
        <w:spacing w:after="40" w:line="312" w:lineRule="auto"/>
      </w:pPr>
      <w:r>
        <w:rPr>
          <w:rFonts w:eastAsia="SimSun"/>
        </w:rPr>
        <w:t>全窗 Calmar 从 0.58 抬升到 1.61（Δ +1.03）——即“在几乎不损失夏普甚至同时更高的 CAGR 下，把最大回撤对半砍”。</w:t>
      </w:r>
    </w:p>
    <w:p w14:paraId="2F8C4DD9" w14:textId="77777777" w:rsidR="008F5E7F" w:rsidRDefault="00000000">
      <w:pPr>
        <w:pStyle w:val="Heading1"/>
      </w:pPr>
      <w:r>
        <w:rPr>
          <w:rFonts w:ascii="SimHei" w:eastAsia="SimHei" w:hAnsi="SimHei"/>
        </w:rPr>
        <w:t>六、换手与成本</w:t>
      </w:r>
    </w:p>
    <w:p w14:paraId="34933BCC" w14:textId="77777777" w:rsidR="008F5E7F" w:rsidRDefault="00000000">
      <w:pPr>
        <w:spacing w:after="80" w:line="336" w:lineRule="auto"/>
        <w:ind w:firstLine="454"/>
      </w:pPr>
      <w:r>
        <w:rPr>
          <w:rFonts w:eastAsia="SimSun"/>
        </w:rPr>
        <w:t>在成本口径下，α 层与 Layer-1 的换手结构差异显著。以三个双层方案为例：α off 的双层 baseline 单边换手仅 0.046，换算成年化交易成本约 48 bps；开启 α 后，α off → q=0.20 ε=0.30 的换手抬升到 0.081（≈ 85 bps），α off → q=0.10 ε=0.30 抬升到 0.087（≈ 91 bps）。cost drag 相当于 IS Sharpe 掉 0.17 左右——这是 α 层需要额外撑起的门槛。</w:t>
      </w:r>
    </w:p>
    <w:p w14:paraId="0F69E345" w14:textId="77777777" w:rsidR="008F5E7F" w:rsidRDefault="00000000">
      <w:pPr>
        <w:jc w:val="center"/>
      </w:pPr>
      <w:r>
        <w:rPr>
          <w:noProof/>
        </w:rPr>
        <w:lastRenderedPageBreak/>
        <w:drawing>
          <wp:inline distT="0" distB="0" distL="0" distR="0" wp14:anchorId="1E175780" wp14:editId="00847B1B">
            <wp:extent cx="5580000" cy="27335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turnover.png"/>
                    <pic:cNvPicPr/>
                  </pic:nvPicPr>
                  <pic:blipFill>
                    <a:blip r:embed="rId21"/>
                    <a:stretch>
                      <a:fillRect/>
                    </a:stretch>
                  </pic:blipFill>
                  <pic:spPr>
                    <a:xfrm>
                      <a:off x="0" y="0"/>
                      <a:ext cx="5580000" cy="2733584"/>
                    </a:xfrm>
                    <a:prstGeom prst="rect">
                      <a:avLst/>
                    </a:prstGeom>
                  </pic:spPr>
                </pic:pic>
              </a:graphicData>
            </a:graphic>
          </wp:inline>
        </w:drawing>
      </w:r>
    </w:p>
    <w:p w14:paraId="6C407F97" w14:textId="77777777" w:rsidR="008F5E7F" w:rsidRDefault="00000000">
      <w:pPr>
        <w:jc w:val="center"/>
      </w:pPr>
      <w:r>
        <w:rPr>
          <w:rFonts w:eastAsia="SimSun"/>
          <w:color w:val="666666"/>
          <w:sz w:val="18"/>
        </w:rPr>
        <w:t>图 17  平均单边换手（每周）——α 层激活后的成本代价</w:t>
      </w:r>
    </w:p>
    <w:p w14:paraId="016BC689" w14:textId="77777777" w:rsidR="008F5E7F" w:rsidRDefault="00000000">
      <w:pPr>
        <w:pStyle w:val="Heading1"/>
      </w:pPr>
      <w:r>
        <w:rPr>
          <w:rFonts w:ascii="SimHei" w:eastAsia="SimHei" w:hAnsi="SimHei"/>
        </w:rPr>
        <w:t>七、实验一 · 组间风险预算敏感性</w:t>
      </w:r>
    </w:p>
    <w:p w14:paraId="1EAC20DB" w14:textId="77777777" w:rsidR="008F5E7F" w:rsidRDefault="00000000">
      <w:pPr>
        <w:pStyle w:val="Heading2"/>
      </w:pPr>
      <w:r>
        <w:rPr>
          <w:rFonts w:ascii="SimHei" w:eastAsia="SimHei" w:hAnsi="SimHei"/>
        </w:rPr>
        <w:t>7.1 出发点与实验设计</w:t>
      </w:r>
    </w:p>
    <w:p w14:paraId="4C75360B" w14:textId="77777777" w:rsidR="008F5E7F" w:rsidRDefault="00000000">
      <w:pPr>
        <w:spacing w:after="80" w:line="336" w:lineRule="auto"/>
        <w:ind w:firstLine="454"/>
      </w:pPr>
      <w:r>
        <w:rPr>
          <w:rFonts w:eastAsia="SimSun"/>
        </w:rPr>
        <w:t>落地方案里的组间政策风险预算是 base = 55（权益） / 20（利率债） / 10（信用债） / 15（商品），这是最初根据经济学先验拍定的四个数字。既然第四节已经把 finalist 冻结，很自然想问一句：**这套先验对结果到底有多敏感？如果按不同的先验切开风险预算，夏普/CAGR/回撤会怎样变？**</w:t>
      </w:r>
    </w:p>
    <w:p w14:paraId="47A72A16" w14:textId="77777777" w:rsidR="008F5E7F" w:rsidRDefault="00000000">
      <w:pPr>
        <w:spacing w:after="80" w:line="336" w:lineRule="auto"/>
      </w:pPr>
      <w:r>
        <w:rPr>
          <w:rFonts w:eastAsia="SimSun"/>
        </w:rPr>
        <w:t>本节把「组间风险预算」当作单一自由度扫描：</w:t>
      </w:r>
    </w:p>
    <w:p w14:paraId="7306674E" w14:textId="77777777" w:rsidR="008F5E7F" w:rsidRDefault="00000000">
      <w:pPr>
        <w:pStyle w:val="ListBullet"/>
        <w:spacing w:after="40" w:line="312" w:lineRule="auto"/>
      </w:pPr>
      <w:r>
        <w:rPr>
          <w:rFonts w:eastAsia="SimSun"/>
        </w:rPr>
        <w:t>**冻结**：Layer-1 solver（invvol × LW-target-D × log-barrier ERC，无 trend gate）、Layer-2 α（broad_cn K=5 + sector_cn K=8）、finalist (q=0.20, ε=0.30)、10 bp/单边成本口径——全部与第四节完全一致。</w:t>
      </w:r>
    </w:p>
    <w:p w14:paraId="57B608F4" w14:textId="77777777" w:rsidR="008F5E7F" w:rsidRDefault="00000000">
      <w:pPr>
        <w:pStyle w:val="ListBullet"/>
        <w:spacing w:after="40" w:line="312" w:lineRule="auto"/>
      </w:pPr>
      <w:r>
        <w:rPr>
          <w:rFonts w:eastAsia="SimSun"/>
        </w:rPr>
        <w:t>**变量**：只把 POLICY_SHARES 换成不同的四元组，重新跑一次组合。</w:t>
      </w:r>
    </w:p>
    <w:p w14:paraId="7D826EF3" w14:textId="77777777" w:rsidR="008F5E7F" w:rsidRDefault="00000000">
      <w:pPr>
        <w:pStyle w:val="ListBullet"/>
        <w:spacing w:after="40" w:line="312" w:lineRule="auto"/>
      </w:pPr>
      <w:r>
        <w:rPr>
          <w:rFonts w:eastAsia="SimSun"/>
        </w:rPr>
        <w:t>**对照 A**：EW 参照 = 25/25/25/25（等风险贡献）。</w:t>
      </w:r>
    </w:p>
    <w:p w14:paraId="0FE75937" w14:textId="77777777" w:rsidR="008F5E7F" w:rsidRDefault="00000000">
      <w:pPr>
        <w:pStyle w:val="ListBullet"/>
        <w:spacing w:after="40" w:line="312" w:lineRule="auto"/>
      </w:pPr>
      <w:r>
        <w:rPr>
          <w:rFonts w:eastAsia="SimSun"/>
        </w:rPr>
        <w:t>**对照 B**：单轴 ±10pp 边际扰动 —— 把某一轴的 share 加/减 10pp，补偿量按剩下三轴的 base 比例 pro-rata 摊回去，控制总和 = 100%。</w:t>
      </w:r>
    </w:p>
    <w:p w14:paraId="39564CE7" w14:textId="77777777" w:rsidR="008F5E7F" w:rsidRDefault="00000000">
      <w:pPr>
        <w:pStyle w:val="ListBullet"/>
        <w:spacing w:after="40" w:line="312" w:lineRule="auto"/>
      </w:pPr>
      <w:r>
        <w:rPr>
          <w:rFonts w:eastAsia="SimSun"/>
        </w:rPr>
        <w:t>**全 grid**：3×3×3×3 = 81 组扰动（每轴取 {−10, 0, +10} pp），去掉 base 本身后剩 80 cell（负值截断处理）。</w:t>
      </w:r>
    </w:p>
    <w:p w14:paraId="3ED0FD0E" w14:textId="77777777" w:rsidR="008F5E7F" w:rsidRDefault="00000000">
      <w:pPr>
        <w:spacing w:after="80" w:line="336" w:lineRule="auto"/>
        <w:ind w:firstLine="454"/>
      </w:pPr>
      <w:r>
        <w:rPr>
          <w:rFonts w:eastAsia="SimSun"/>
        </w:rPr>
        <w:t>所有 cell 都做完整回测；warmup-trim 口径与前几节完全一致（IS 240 bars，OOS 82 bars）。由于所有 cell 共用同一 Layer-1 solver 和同一 α 层，任何 Δ 都可干净归因到「政策 shares 的选择」这一个自由度。</w:t>
      </w:r>
    </w:p>
    <w:p w14:paraId="7288D255" w14:textId="77777777" w:rsidR="008F5E7F" w:rsidRDefault="00000000">
      <w:pPr>
        <w:pStyle w:val="Heading2"/>
      </w:pPr>
      <w:r>
        <w:rPr>
          <w:rFonts w:ascii="SimHei" w:eastAsia="SimHei" w:hAnsi="SimHei"/>
        </w:rPr>
        <w:lastRenderedPageBreak/>
        <w:t>7.2 base vs EW —— 单个对照</w:t>
      </w:r>
    </w:p>
    <w:p w14:paraId="05F9F554" w14:textId="77777777" w:rsidR="008F5E7F" w:rsidRDefault="00000000">
      <w:pPr>
        <w:spacing w:after="80" w:line="336" w:lineRule="auto"/>
        <w:ind w:firstLine="454"/>
      </w:pPr>
      <w:r>
        <w:rPr>
          <w:rFonts w:eastAsia="SimSun"/>
        </w:rPr>
        <w:t>先看 EW 与 base 两个 control cell 的三窗指标：</w:t>
      </w:r>
    </w:p>
    <w:tbl>
      <w:tblPr>
        <w:tblStyle w:val="LightGrid-Accent1"/>
        <w:tblW w:w="0" w:type="auto"/>
        <w:jc w:val="center"/>
        <w:tblLook w:val="04A0" w:firstRow="1" w:lastRow="0" w:firstColumn="1" w:lastColumn="0" w:noHBand="0" w:noVBand="1"/>
      </w:tblPr>
      <w:tblGrid>
        <w:gridCol w:w="1325"/>
        <w:gridCol w:w="1036"/>
        <w:gridCol w:w="1036"/>
        <w:gridCol w:w="1036"/>
        <w:gridCol w:w="1036"/>
        <w:gridCol w:w="1039"/>
        <w:gridCol w:w="1039"/>
        <w:gridCol w:w="1039"/>
        <w:gridCol w:w="1036"/>
      </w:tblGrid>
      <w:tr w:rsidR="008F5E7F" w14:paraId="11D7BAFF" w14:textId="77777777" w:rsidTr="008F5E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614540F3" w14:textId="77777777" w:rsidR="008F5E7F" w:rsidRDefault="00000000">
            <w:pPr>
              <w:jc w:val="center"/>
            </w:pPr>
            <w:r>
              <w:rPr>
                <w:rFonts w:eastAsia="SimSun"/>
                <w:sz w:val="20"/>
              </w:rPr>
              <w:t>方案</w:t>
            </w:r>
          </w:p>
        </w:tc>
        <w:tc>
          <w:tcPr>
            <w:tcW w:w="1045" w:type="dxa"/>
          </w:tcPr>
          <w:p w14:paraId="38D99547"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权益</w:t>
            </w:r>
          </w:p>
        </w:tc>
        <w:tc>
          <w:tcPr>
            <w:tcW w:w="1045" w:type="dxa"/>
          </w:tcPr>
          <w:p w14:paraId="0E4086F5"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利率债</w:t>
            </w:r>
          </w:p>
        </w:tc>
        <w:tc>
          <w:tcPr>
            <w:tcW w:w="1045" w:type="dxa"/>
          </w:tcPr>
          <w:p w14:paraId="5C862764"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信用债</w:t>
            </w:r>
          </w:p>
        </w:tc>
        <w:tc>
          <w:tcPr>
            <w:tcW w:w="1045" w:type="dxa"/>
          </w:tcPr>
          <w:p w14:paraId="21A1FE9F"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商品</w:t>
            </w:r>
          </w:p>
        </w:tc>
        <w:tc>
          <w:tcPr>
            <w:tcW w:w="1045" w:type="dxa"/>
          </w:tcPr>
          <w:p w14:paraId="5EB1E4B0"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IS 夏普</w:t>
            </w:r>
          </w:p>
        </w:tc>
        <w:tc>
          <w:tcPr>
            <w:tcW w:w="1045" w:type="dxa"/>
          </w:tcPr>
          <w:p w14:paraId="699F265A"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OOS 夏普</w:t>
            </w:r>
          </w:p>
        </w:tc>
        <w:tc>
          <w:tcPr>
            <w:tcW w:w="1045" w:type="dxa"/>
          </w:tcPr>
          <w:p w14:paraId="198F328C"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OOS CAGR</w:t>
            </w:r>
          </w:p>
        </w:tc>
        <w:tc>
          <w:tcPr>
            <w:tcW w:w="1045" w:type="dxa"/>
          </w:tcPr>
          <w:p w14:paraId="2592F542"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OOS 最大回撤</w:t>
            </w:r>
          </w:p>
        </w:tc>
      </w:tr>
      <w:tr w:rsidR="008F5E7F" w14:paraId="5C1E3652"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1C2D9032" w14:textId="77777777" w:rsidR="008F5E7F" w:rsidRDefault="00000000">
            <w:pPr>
              <w:jc w:val="center"/>
            </w:pPr>
            <w:r>
              <w:rPr>
                <w:rFonts w:eastAsia="SimSun"/>
                <w:sz w:val="20"/>
              </w:rPr>
              <w:t>base 55/20/10/15</w:t>
            </w:r>
          </w:p>
        </w:tc>
        <w:tc>
          <w:tcPr>
            <w:tcW w:w="1045" w:type="dxa"/>
          </w:tcPr>
          <w:p w14:paraId="1B01938D"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55.0%</w:t>
            </w:r>
          </w:p>
        </w:tc>
        <w:tc>
          <w:tcPr>
            <w:tcW w:w="1045" w:type="dxa"/>
          </w:tcPr>
          <w:p w14:paraId="26864358"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20.0%</w:t>
            </w:r>
          </w:p>
        </w:tc>
        <w:tc>
          <w:tcPr>
            <w:tcW w:w="1045" w:type="dxa"/>
          </w:tcPr>
          <w:p w14:paraId="07D24683"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10.0%</w:t>
            </w:r>
          </w:p>
        </w:tc>
        <w:tc>
          <w:tcPr>
            <w:tcW w:w="1045" w:type="dxa"/>
          </w:tcPr>
          <w:p w14:paraId="28E7C444"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15.0%</w:t>
            </w:r>
          </w:p>
        </w:tc>
        <w:tc>
          <w:tcPr>
            <w:tcW w:w="1045" w:type="dxa"/>
          </w:tcPr>
          <w:p w14:paraId="5E6132C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+1.577</w:t>
            </w:r>
          </w:p>
        </w:tc>
        <w:tc>
          <w:tcPr>
            <w:tcW w:w="1045" w:type="dxa"/>
          </w:tcPr>
          <w:p w14:paraId="51E5E079"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+3.621</w:t>
            </w:r>
          </w:p>
        </w:tc>
        <w:tc>
          <w:tcPr>
            <w:tcW w:w="1045" w:type="dxa"/>
          </w:tcPr>
          <w:p w14:paraId="7AE1562C"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+4.48%</w:t>
            </w:r>
          </w:p>
        </w:tc>
        <w:tc>
          <w:tcPr>
            <w:tcW w:w="1045" w:type="dxa"/>
          </w:tcPr>
          <w:p w14:paraId="31B3DC7B"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-0.36%</w:t>
            </w:r>
          </w:p>
        </w:tc>
      </w:tr>
      <w:tr w:rsidR="008F5E7F" w14:paraId="77453FD0"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0E16C740" w14:textId="77777777" w:rsidR="008F5E7F" w:rsidRDefault="00000000">
            <w:pPr>
              <w:jc w:val="center"/>
            </w:pPr>
            <w:r>
              <w:rPr>
                <w:rFonts w:eastAsia="SimSun"/>
                <w:sz w:val="20"/>
              </w:rPr>
              <w:t>EW 25/25/25/25</w:t>
            </w:r>
          </w:p>
        </w:tc>
        <w:tc>
          <w:tcPr>
            <w:tcW w:w="1045" w:type="dxa"/>
          </w:tcPr>
          <w:p w14:paraId="1AE6A577"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25.0%</w:t>
            </w:r>
          </w:p>
        </w:tc>
        <w:tc>
          <w:tcPr>
            <w:tcW w:w="1045" w:type="dxa"/>
          </w:tcPr>
          <w:p w14:paraId="1D667716"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25.0%</w:t>
            </w:r>
          </w:p>
        </w:tc>
        <w:tc>
          <w:tcPr>
            <w:tcW w:w="1045" w:type="dxa"/>
          </w:tcPr>
          <w:p w14:paraId="7EF34AF3"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25.0%</w:t>
            </w:r>
          </w:p>
        </w:tc>
        <w:tc>
          <w:tcPr>
            <w:tcW w:w="1045" w:type="dxa"/>
          </w:tcPr>
          <w:p w14:paraId="568F42D0"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25.0%</w:t>
            </w:r>
          </w:p>
        </w:tc>
        <w:tc>
          <w:tcPr>
            <w:tcW w:w="1045" w:type="dxa"/>
          </w:tcPr>
          <w:p w14:paraId="51030D0A"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+1.721</w:t>
            </w:r>
          </w:p>
        </w:tc>
        <w:tc>
          <w:tcPr>
            <w:tcW w:w="1045" w:type="dxa"/>
          </w:tcPr>
          <w:p w14:paraId="7D180C8D"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+4.149</w:t>
            </w:r>
          </w:p>
        </w:tc>
        <w:tc>
          <w:tcPr>
            <w:tcW w:w="1045" w:type="dxa"/>
          </w:tcPr>
          <w:p w14:paraId="1EA667D9"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+4.09%</w:t>
            </w:r>
          </w:p>
        </w:tc>
        <w:tc>
          <w:tcPr>
            <w:tcW w:w="1045" w:type="dxa"/>
          </w:tcPr>
          <w:p w14:paraId="70EAB596"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-0.33%</w:t>
            </w:r>
          </w:p>
        </w:tc>
      </w:tr>
    </w:tbl>
    <w:p w14:paraId="36AE0639" w14:textId="77777777" w:rsidR="008F5E7F" w:rsidRDefault="00000000">
      <w:pPr>
        <w:spacing w:after="80" w:line="336" w:lineRule="auto"/>
        <w:ind w:firstLine="454"/>
      </w:pPr>
      <w:r>
        <w:rPr>
          <w:rFonts w:eastAsia="SimSun"/>
        </w:rPr>
        <w:t>直接读数：EW 在 IS 上 Sharpe +1.721 比 base +1.577 高 Δ +0.145，OOS 上 Δ +0.528；但 EW 的 OOS CAGR +4.09% 反而略低于 base +4.48%——同样是「收益略减 / 波动大减 → Sharpe 抬升」的组合（与第七节实验二的机制类似，但触发原因不同）。</w:t>
      </w:r>
    </w:p>
    <w:p w14:paraId="4D3195B1" w14:textId="77777777" w:rsidR="008F5E7F" w:rsidRDefault="00000000">
      <w:pPr>
        <w:spacing w:after="80" w:line="336" w:lineRule="auto"/>
        <w:ind w:firstLine="454"/>
      </w:pPr>
      <w:r>
        <w:rPr>
          <w:rFonts w:eastAsia="SimSun"/>
        </w:rPr>
        <w:t>**噪声尺度先记住**：跨 80 cells 的 IS 夏普 σ = 0.104，OOS 夏普 σ = 0.399。因此 EW − base 的 OOS Sharpe Δ 只有 ~1.3× cross-cell σ，IS 上略高一点 —— 属于「有信号但不算强」量级。任何单点比较都要放到这个噪声带里读。</w:t>
      </w:r>
    </w:p>
    <w:p w14:paraId="0248911B" w14:textId="77777777" w:rsidR="008F5E7F" w:rsidRDefault="00000000">
      <w:pPr>
        <w:pStyle w:val="Heading2"/>
      </w:pPr>
      <w:r>
        <w:rPr>
          <w:rFonts w:ascii="SimHei" w:eastAsia="SimHei" w:hAnsi="SimHei"/>
        </w:rPr>
        <w:t>7.3 单轴 ±10pp 边际斜率 + 噪声带</w:t>
      </w:r>
    </w:p>
    <w:p w14:paraId="34F35834" w14:textId="77777777" w:rsidR="008F5E7F" w:rsidRDefault="00000000">
      <w:pPr>
        <w:jc w:val="center"/>
      </w:pPr>
      <w:r>
        <w:rPr>
          <w:noProof/>
        </w:rPr>
        <w:drawing>
          <wp:inline distT="0" distB="0" distL="0" distR="0" wp14:anchorId="757377B9" wp14:editId="69C4E7E5">
            <wp:extent cx="5580000" cy="24977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p1_01_axis_slope.png"/>
                    <pic:cNvPicPr/>
                  </pic:nvPicPr>
                  <pic:blipFill>
                    <a:blip r:embed="rId22"/>
                    <a:stretch>
                      <a:fillRect/>
                    </a:stretch>
                  </pic:blipFill>
                  <pic:spPr>
                    <a:xfrm>
                      <a:off x="0" y="0"/>
                      <a:ext cx="5580000" cy="2497714"/>
                    </a:xfrm>
                    <a:prstGeom prst="rect">
                      <a:avLst/>
                    </a:prstGeom>
                  </pic:spPr>
                </pic:pic>
              </a:graphicData>
            </a:graphic>
          </wp:inline>
        </w:drawing>
      </w:r>
    </w:p>
    <w:p w14:paraId="768BA0DA" w14:textId="77777777" w:rsidR="008F5E7F" w:rsidRDefault="00000000">
      <w:pPr>
        <w:jc w:val="center"/>
      </w:pPr>
      <w:r>
        <w:rPr>
          <w:rFonts w:eastAsia="SimSun"/>
          <w:color w:val="666666"/>
          <w:sz w:val="18"/>
        </w:rPr>
        <w:t>图 25  实验一：4 轴 ±10pp 单轴边际 Δ 夏普 vs cross-cell ±1σ 噪声带（虚线蓝 = IS σ ±0.10，虚线红 = OOS σ ±0.40）</w:t>
      </w:r>
    </w:p>
    <w:tbl>
      <w:tblPr>
        <w:tblStyle w:val="LightGrid-Accent1"/>
        <w:tblW w:w="0" w:type="auto"/>
        <w:jc w:val="center"/>
        <w:tblLook w:val="04A0" w:firstRow="1" w:lastRow="0" w:firstColumn="1" w:lastColumn="0" w:noHBand="0" w:noVBand="1"/>
      </w:tblPr>
      <w:tblGrid>
        <w:gridCol w:w="1176"/>
        <w:gridCol w:w="1176"/>
        <w:gridCol w:w="1176"/>
        <w:gridCol w:w="1176"/>
        <w:gridCol w:w="1176"/>
        <w:gridCol w:w="1176"/>
        <w:gridCol w:w="1176"/>
        <w:gridCol w:w="1176"/>
      </w:tblGrid>
      <w:tr w:rsidR="008F5E7F" w14:paraId="4C426611" w14:textId="77777777" w:rsidTr="008F5E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65A6B37E" w14:textId="77777777" w:rsidR="008F5E7F" w:rsidRDefault="00000000">
            <w:pPr>
              <w:jc w:val="center"/>
            </w:pPr>
            <w:r>
              <w:rPr>
                <w:rFonts w:eastAsia="SimSun"/>
                <w:sz w:val="20"/>
              </w:rPr>
              <w:t>轴</w:t>
            </w:r>
          </w:p>
        </w:tc>
        <w:tc>
          <w:tcPr>
            <w:tcW w:w="1176" w:type="dxa"/>
          </w:tcPr>
          <w:p w14:paraId="4740E2FB"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方向</w:t>
            </w:r>
          </w:p>
        </w:tc>
        <w:tc>
          <w:tcPr>
            <w:tcW w:w="1176" w:type="dxa"/>
          </w:tcPr>
          <w:p w14:paraId="1F509AD7"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Δ IS 夏普</w:t>
            </w:r>
          </w:p>
        </w:tc>
        <w:tc>
          <w:tcPr>
            <w:tcW w:w="1176" w:type="dxa"/>
          </w:tcPr>
          <w:p w14:paraId="7250F3E8"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Δ OOS 夏普</w:t>
            </w:r>
          </w:p>
        </w:tc>
        <w:tc>
          <w:tcPr>
            <w:tcW w:w="1176" w:type="dxa"/>
          </w:tcPr>
          <w:p w14:paraId="26AA0843"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Δ IS CAGR</w:t>
            </w:r>
          </w:p>
        </w:tc>
        <w:tc>
          <w:tcPr>
            <w:tcW w:w="1176" w:type="dxa"/>
          </w:tcPr>
          <w:p w14:paraId="640BCB47"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Δ OOS CAGR</w:t>
            </w:r>
          </w:p>
        </w:tc>
        <w:tc>
          <w:tcPr>
            <w:tcW w:w="1176" w:type="dxa"/>
          </w:tcPr>
          <w:p w14:paraId="338253F0"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IS σ 倍数</w:t>
            </w:r>
          </w:p>
        </w:tc>
        <w:tc>
          <w:tcPr>
            <w:tcW w:w="1176" w:type="dxa"/>
          </w:tcPr>
          <w:p w14:paraId="29DADC4E"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OOS σ 倍数</w:t>
            </w:r>
          </w:p>
        </w:tc>
      </w:tr>
      <w:tr w:rsidR="008F5E7F" w14:paraId="7DD311E5"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2A5269D4" w14:textId="77777777" w:rsidR="008F5E7F" w:rsidRDefault="00000000">
            <w:pPr>
              <w:jc w:val="center"/>
            </w:pPr>
            <w:r>
              <w:rPr>
                <w:rFonts w:eastAsia="SimSun"/>
                <w:sz w:val="20"/>
              </w:rPr>
              <w:t>权益</w:t>
            </w:r>
          </w:p>
        </w:tc>
        <w:tc>
          <w:tcPr>
            <w:tcW w:w="1176" w:type="dxa"/>
          </w:tcPr>
          <w:p w14:paraId="36B2A0B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+10pp</w:t>
            </w:r>
          </w:p>
        </w:tc>
        <w:tc>
          <w:tcPr>
            <w:tcW w:w="1176" w:type="dxa"/>
          </w:tcPr>
          <w:p w14:paraId="7DCC56E1"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-0.101</w:t>
            </w:r>
          </w:p>
        </w:tc>
        <w:tc>
          <w:tcPr>
            <w:tcW w:w="1176" w:type="dxa"/>
          </w:tcPr>
          <w:p w14:paraId="232E041B"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-0.296</w:t>
            </w:r>
          </w:p>
        </w:tc>
        <w:tc>
          <w:tcPr>
            <w:tcW w:w="1176" w:type="dxa"/>
          </w:tcPr>
          <w:p w14:paraId="376037C8"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+0.09 pp</w:t>
            </w:r>
          </w:p>
        </w:tc>
        <w:tc>
          <w:tcPr>
            <w:tcW w:w="1176" w:type="dxa"/>
          </w:tcPr>
          <w:p w14:paraId="0148C170"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+0.08 pp</w:t>
            </w:r>
          </w:p>
        </w:tc>
        <w:tc>
          <w:tcPr>
            <w:tcW w:w="1176" w:type="dxa"/>
          </w:tcPr>
          <w:p w14:paraId="5F3187A1"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0.98</w:t>
            </w:r>
          </w:p>
        </w:tc>
        <w:tc>
          <w:tcPr>
            <w:tcW w:w="1176" w:type="dxa"/>
          </w:tcPr>
          <w:p w14:paraId="0A2D1032"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0.74</w:t>
            </w:r>
          </w:p>
        </w:tc>
      </w:tr>
      <w:tr w:rsidR="008F5E7F" w14:paraId="6F2C5935"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25628630" w14:textId="77777777" w:rsidR="008F5E7F" w:rsidRDefault="00000000">
            <w:pPr>
              <w:jc w:val="center"/>
            </w:pPr>
            <w:r>
              <w:rPr>
                <w:rFonts w:eastAsia="SimSun"/>
                <w:sz w:val="20"/>
              </w:rPr>
              <w:t>权益</w:t>
            </w:r>
          </w:p>
        </w:tc>
        <w:tc>
          <w:tcPr>
            <w:tcW w:w="1176" w:type="dxa"/>
          </w:tcPr>
          <w:p w14:paraId="4FC2ACFD"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-10pp</w:t>
            </w:r>
          </w:p>
        </w:tc>
        <w:tc>
          <w:tcPr>
            <w:tcW w:w="1176" w:type="dxa"/>
          </w:tcPr>
          <w:p w14:paraId="7A733FAC"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+0.082</w:t>
            </w:r>
          </w:p>
        </w:tc>
        <w:tc>
          <w:tcPr>
            <w:tcW w:w="1176" w:type="dxa"/>
          </w:tcPr>
          <w:p w14:paraId="325E9A8D"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+0.245</w:t>
            </w:r>
          </w:p>
        </w:tc>
        <w:tc>
          <w:tcPr>
            <w:tcW w:w="1176" w:type="dxa"/>
          </w:tcPr>
          <w:p w14:paraId="725BF0CE"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-0.08 pp</w:t>
            </w:r>
          </w:p>
        </w:tc>
        <w:tc>
          <w:tcPr>
            <w:tcW w:w="1176" w:type="dxa"/>
          </w:tcPr>
          <w:p w14:paraId="4C320A05"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-0.08 pp</w:t>
            </w:r>
          </w:p>
        </w:tc>
        <w:tc>
          <w:tcPr>
            <w:tcW w:w="1176" w:type="dxa"/>
          </w:tcPr>
          <w:p w14:paraId="36B72CF8"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0.79</w:t>
            </w:r>
          </w:p>
        </w:tc>
        <w:tc>
          <w:tcPr>
            <w:tcW w:w="1176" w:type="dxa"/>
          </w:tcPr>
          <w:p w14:paraId="2C45070D"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0.62</w:t>
            </w:r>
          </w:p>
        </w:tc>
      </w:tr>
      <w:tr w:rsidR="008F5E7F" w14:paraId="5ED62885"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13673E24" w14:textId="77777777" w:rsidR="008F5E7F" w:rsidRDefault="00000000">
            <w:pPr>
              <w:jc w:val="center"/>
            </w:pPr>
            <w:r>
              <w:rPr>
                <w:rFonts w:eastAsia="SimSun"/>
                <w:sz w:val="20"/>
              </w:rPr>
              <w:t>利率债</w:t>
            </w:r>
          </w:p>
        </w:tc>
        <w:tc>
          <w:tcPr>
            <w:tcW w:w="1176" w:type="dxa"/>
          </w:tcPr>
          <w:p w14:paraId="7AC7B68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+10pp</w:t>
            </w:r>
          </w:p>
        </w:tc>
        <w:tc>
          <w:tcPr>
            <w:tcW w:w="1176" w:type="dxa"/>
          </w:tcPr>
          <w:p w14:paraId="5AB255DF"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+0.107</w:t>
            </w:r>
          </w:p>
        </w:tc>
        <w:tc>
          <w:tcPr>
            <w:tcW w:w="1176" w:type="dxa"/>
          </w:tcPr>
          <w:p w14:paraId="06953D62"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+0.361</w:t>
            </w:r>
          </w:p>
        </w:tc>
        <w:tc>
          <w:tcPr>
            <w:tcW w:w="1176" w:type="dxa"/>
          </w:tcPr>
          <w:p w14:paraId="26608543"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-0.22 pp</w:t>
            </w:r>
          </w:p>
        </w:tc>
        <w:tc>
          <w:tcPr>
            <w:tcW w:w="1176" w:type="dxa"/>
          </w:tcPr>
          <w:p w14:paraId="5FE518B4"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-0.02 pp</w:t>
            </w:r>
          </w:p>
        </w:tc>
        <w:tc>
          <w:tcPr>
            <w:tcW w:w="1176" w:type="dxa"/>
          </w:tcPr>
          <w:p w14:paraId="72F1A886"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1.04</w:t>
            </w:r>
          </w:p>
        </w:tc>
        <w:tc>
          <w:tcPr>
            <w:tcW w:w="1176" w:type="dxa"/>
          </w:tcPr>
          <w:p w14:paraId="3BDB158A"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0.90</w:t>
            </w:r>
          </w:p>
        </w:tc>
      </w:tr>
      <w:tr w:rsidR="008F5E7F" w14:paraId="3C506368"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58DD6AE7" w14:textId="77777777" w:rsidR="008F5E7F" w:rsidRDefault="00000000">
            <w:pPr>
              <w:jc w:val="center"/>
            </w:pPr>
            <w:r>
              <w:rPr>
                <w:rFonts w:eastAsia="SimSun"/>
                <w:sz w:val="20"/>
              </w:rPr>
              <w:t>利率债</w:t>
            </w:r>
          </w:p>
        </w:tc>
        <w:tc>
          <w:tcPr>
            <w:tcW w:w="1176" w:type="dxa"/>
          </w:tcPr>
          <w:p w14:paraId="415B1209"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-10pp</w:t>
            </w:r>
          </w:p>
        </w:tc>
        <w:tc>
          <w:tcPr>
            <w:tcW w:w="1176" w:type="dxa"/>
          </w:tcPr>
          <w:p w14:paraId="5DCFAF3F"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-0.160</w:t>
            </w:r>
          </w:p>
        </w:tc>
        <w:tc>
          <w:tcPr>
            <w:tcW w:w="1176" w:type="dxa"/>
          </w:tcPr>
          <w:p w14:paraId="0382E4C6"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-0.567</w:t>
            </w:r>
          </w:p>
        </w:tc>
        <w:tc>
          <w:tcPr>
            <w:tcW w:w="1176" w:type="dxa"/>
          </w:tcPr>
          <w:p w14:paraId="4F8F2E16"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+0.36 pp</w:t>
            </w:r>
          </w:p>
        </w:tc>
        <w:tc>
          <w:tcPr>
            <w:tcW w:w="1176" w:type="dxa"/>
          </w:tcPr>
          <w:p w14:paraId="42E7D7A3"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+0.00 pp</w:t>
            </w:r>
          </w:p>
        </w:tc>
        <w:tc>
          <w:tcPr>
            <w:tcW w:w="1176" w:type="dxa"/>
          </w:tcPr>
          <w:p w14:paraId="5348534B"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1.55</w:t>
            </w:r>
          </w:p>
        </w:tc>
        <w:tc>
          <w:tcPr>
            <w:tcW w:w="1176" w:type="dxa"/>
          </w:tcPr>
          <w:p w14:paraId="18B03E3D"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1.42</w:t>
            </w:r>
          </w:p>
        </w:tc>
      </w:tr>
      <w:tr w:rsidR="008F5E7F" w14:paraId="309EA614"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73025DED" w14:textId="77777777" w:rsidR="008F5E7F" w:rsidRDefault="00000000">
            <w:pPr>
              <w:jc w:val="center"/>
            </w:pPr>
            <w:r>
              <w:rPr>
                <w:rFonts w:eastAsia="SimSun"/>
                <w:sz w:val="20"/>
              </w:rPr>
              <w:t>信用债</w:t>
            </w:r>
          </w:p>
        </w:tc>
        <w:tc>
          <w:tcPr>
            <w:tcW w:w="1176" w:type="dxa"/>
          </w:tcPr>
          <w:p w14:paraId="3CDA4270"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+10pp</w:t>
            </w:r>
          </w:p>
        </w:tc>
        <w:tc>
          <w:tcPr>
            <w:tcW w:w="1176" w:type="dxa"/>
          </w:tcPr>
          <w:p w14:paraId="1C338766"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+0.001</w:t>
            </w:r>
          </w:p>
        </w:tc>
        <w:tc>
          <w:tcPr>
            <w:tcW w:w="1176" w:type="dxa"/>
          </w:tcPr>
          <w:p w14:paraId="7FDE1D2E"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+0.157</w:t>
            </w:r>
          </w:p>
        </w:tc>
        <w:tc>
          <w:tcPr>
            <w:tcW w:w="1176" w:type="dxa"/>
          </w:tcPr>
          <w:p w14:paraId="071278B5"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-0.03 pp</w:t>
            </w:r>
          </w:p>
        </w:tc>
        <w:tc>
          <w:tcPr>
            <w:tcW w:w="1176" w:type="dxa"/>
          </w:tcPr>
          <w:p w14:paraId="6AAD6921"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-0.32 pp</w:t>
            </w:r>
          </w:p>
        </w:tc>
        <w:tc>
          <w:tcPr>
            <w:tcW w:w="1176" w:type="dxa"/>
          </w:tcPr>
          <w:p w14:paraId="19A70BBB"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0.01</w:t>
            </w:r>
          </w:p>
        </w:tc>
        <w:tc>
          <w:tcPr>
            <w:tcW w:w="1176" w:type="dxa"/>
          </w:tcPr>
          <w:p w14:paraId="3879B843"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0.39</w:t>
            </w:r>
          </w:p>
        </w:tc>
      </w:tr>
      <w:tr w:rsidR="008F5E7F" w14:paraId="17F329CD"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51560888" w14:textId="77777777" w:rsidR="008F5E7F" w:rsidRDefault="00000000">
            <w:pPr>
              <w:jc w:val="center"/>
            </w:pPr>
            <w:r>
              <w:rPr>
                <w:rFonts w:eastAsia="SimSun"/>
                <w:sz w:val="20"/>
              </w:rPr>
              <w:t>信用债</w:t>
            </w:r>
          </w:p>
        </w:tc>
        <w:tc>
          <w:tcPr>
            <w:tcW w:w="1176" w:type="dxa"/>
          </w:tcPr>
          <w:p w14:paraId="6C923D3E"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-10pp</w:t>
            </w:r>
          </w:p>
        </w:tc>
        <w:tc>
          <w:tcPr>
            <w:tcW w:w="1176" w:type="dxa"/>
          </w:tcPr>
          <w:p w14:paraId="41446CAF"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+0.025</w:t>
            </w:r>
          </w:p>
        </w:tc>
        <w:tc>
          <w:tcPr>
            <w:tcW w:w="1176" w:type="dxa"/>
          </w:tcPr>
          <w:p w14:paraId="790A4478"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-0.298</w:t>
            </w:r>
          </w:p>
        </w:tc>
        <w:tc>
          <w:tcPr>
            <w:tcW w:w="1176" w:type="dxa"/>
          </w:tcPr>
          <w:p w14:paraId="19F1BA10"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+0.29 pp</w:t>
            </w:r>
          </w:p>
        </w:tc>
        <w:tc>
          <w:tcPr>
            <w:tcW w:w="1176" w:type="dxa"/>
          </w:tcPr>
          <w:p w14:paraId="697BC510"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+0.63 pp</w:t>
            </w:r>
          </w:p>
        </w:tc>
        <w:tc>
          <w:tcPr>
            <w:tcW w:w="1176" w:type="dxa"/>
          </w:tcPr>
          <w:p w14:paraId="4C43DB11"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0.24</w:t>
            </w:r>
          </w:p>
        </w:tc>
        <w:tc>
          <w:tcPr>
            <w:tcW w:w="1176" w:type="dxa"/>
          </w:tcPr>
          <w:p w14:paraId="6237F65D"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0.75</w:t>
            </w:r>
          </w:p>
        </w:tc>
      </w:tr>
      <w:tr w:rsidR="008F5E7F" w14:paraId="5B25D796"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6697530B" w14:textId="77777777" w:rsidR="008F5E7F" w:rsidRDefault="00000000">
            <w:pPr>
              <w:jc w:val="center"/>
            </w:pPr>
            <w:r>
              <w:rPr>
                <w:rFonts w:eastAsia="SimSun"/>
                <w:sz w:val="20"/>
              </w:rPr>
              <w:t>商品</w:t>
            </w:r>
          </w:p>
        </w:tc>
        <w:tc>
          <w:tcPr>
            <w:tcW w:w="1176" w:type="dxa"/>
          </w:tcPr>
          <w:p w14:paraId="5659C854"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+10pp</w:t>
            </w:r>
          </w:p>
        </w:tc>
        <w:tc>
          <w:tcPr>
            <w:tcW w:w="1176" w:type="dxa"/>
          </w:tcPr>
          <w:p w14:paraId="4D67179B"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+0.002</w:t>
            </w:r>
          </w:p>
        </w:tc>
        <w:tc>
          <w:tcPr>
            <w:tcW w:w="1176" w:type="dxa"/>
          </w:tcPr>
          <w:p w14:paraId="07016E0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-0.172</w:t>
            </w:r>
          </w:p>
        </w:tc>
        <w:tc>
          <w:tcPr>
            <w:tcW w:w="1176" w:type="dxa"/>
          </w:tcPr>
          <w:p w14:paraId="5CE6B86A"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+0.19 pp</w:t>
            </w:r>
          </w:p>
        </w:tc>
        <w:tc>
          <w:tcPr>
            <w:tcW w:w="1176" w:type="dxa"/>
          </w:tcPr>
          <w:p w14:paraId="1A3DAB5A"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+0.14 pp</w:t>
            </w:r>
          </w:p>
        </w:tc>
        <w:tc>
          <w:tcPr>
            <w:tcW w:w="1176" w:type="dxa"/>
          </w:tcPr>
          <w:p w14:paraId="4AE3644D"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0.02</w:t>
            </w:r>
          </w:p>
        </w:tc>
        <w:tc>
          <w:tcPr>
            <w:tcW w:w="1176" w:type="dxa"/>
          </w:tcPr>
          <w:p w14:paraId="108BB831"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0.43</w:t>
            </w:r>
          </w:p>
        </w:tc>
      </w:tr>
      <w:tr w:rsidR="008F5E7F" w14:paraId="4B335D13"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55CC80A3" w14:textId="77777777" w:rsidR="008F5E7F" w:rsidRDefault="00000000">
            <w:pPr>
              <w:jc w:val="center"/>
            </w:pPr>
            <w:r>
              <w:rPr>
                <w:rFonts w:eastAsia="SimSun"/>
                <w:sz w:val="20"/>
              </w:rPr>
              <w:t>商品</w:t>
            </w:r>
          </w:p>
        </w:tc>
        <w:tc>
          <w:tcPr>
            <w:tcW w:w="1176" w:type="dxa"/>
          </w:tcPr>
          <w:p w14:paraId="216FE3AE"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-10pp</w:t>
            </w:r>
          </w:p>
        </w:tc>
        <w:tc>
          <w:tcPr>
            <w:tcW w:w="1176" w:type="dxa"/>
          </w:tcPr>
          <w:p w14:paraId="5C7E445B"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-0.051</w:t>
            </w:r>
          </w:p>
        </w:tc>
        <w:tc>
          <w:tcPr>
            <w:tcW w:w="1176" w:type="dxa"/>
          </w:tcPr>
          <w:p w14:paraId="73112F19"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+0.162</w:t>
            </w:r>
          </w:p>
        </w:tc>
        <w:tc>
          <w:tcPr>
            <w:tcW w:w="1176" w:type="dxa"/>
          </w:tcPr>
          <w:p w14:paraId="7548BC54"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-0.28 pp</w:t>
            </w:r>
          </w:p>
        </w:tc>
        <w:tc>
          <w:tcPr>
            <w:tcW w:w="1176" w:type="dxa"/>
          </w:tcPr>
          <w:p w14:paraId="026DD217"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-0.17 pp</w:t>
            </w:r>
          </w:p>
        </w:tc>
        <w:tc>
          <w:tcPr>
            <w:tcW w:w="1176" w:type="dxa"/>
          </w:tcPr>
          <w:p w14:paraId="4A215B4D"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0.49</w:t>
            </w:r>
          </w:p>
        </w:tc>
        <w:tc>
          <w:tcPr>
            <w:tcW w:w="1176" w:type="dxa"/>
          </w:tcPr>
          <w:p w14:paraId="7CB8737C"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0.41</w:t>
            </w:r>
          </w:p>
        </w:tc>
      </w:tr>
    </w:tbl>
    <w:p w14:paraId="0C867381" w14:textId="77777777" w:rsidR="008F5E7F" w:rsidRDefault="00000000">
      <w:pPr>
        <w:spacing w:after="80" w:line="336" w:lineRule="auto"/>
        <w:ind w:firstLine="454"/>
      </w:pPr>
      <w:r>
        <w:rPr>
          <w:rFonts w:eastAsia="SimSun"/>
        </w:rPr>
        <w:lastRenderedPageBreak/>
        <w:t>读表的规则：**任何绝对值小于 1× cross-cell σ 的 Δ，都应当当作「大概率是噪声」看待**。按这条规则去数：</w:t>
      </w:r>
    </w:p>
    <w:p w14:paraId="1D09C7EC" w14:textId="77777777" w:rsidR="008F5E7F" w:rsidRDefault="00000000">
      <w:pPr>
        <w:pStyle w:val="ListBullet"/>
        <w:spacing w:after="40" w:line="312" w:lineRule="auto"/>
      </w:pPr>
      <w:r>
        <w:rPr>
          <w:rFonts w:eastAsia="SimSun"/>
        </w:rPr>
        <w:t>**权益轴**：±10pp 两个方向都 &lt; 1σ 但**方向严格对称**（+10pp: IS −0.10, OOS −0.30；−10pp: IS +0.08, OOS +0.25），且 IS 与 OOS 同号 —— 这种对称性本身就是结构信号，尽管每个单点没跨过 1σ 门槛。</w:t>
      </w:r>
    </w:p>
    <w:p w14:paraId="1B477B15" w14:textId="77777777" w:rsidR="008F5E7F" w:rsidRDefault="00000000">
      <w:pPr>
        <w:pStyle w:val="ListBullet"/>
        <w:spacing w:after="40" w:line="312" w:lineRule="auto"/>
      </w:pPr>
      <w:r>
        <w:rPr>
          <w:rFonts w:eastAsia="SimSun"/>
        </w:rPr>
        <w:t>**利率债轴**：−10pp 方向 IS 1.55σ + OOS 1.42σ，是全表唯一跨过 1σ 门槛的方向。但 +10pp 只有 1.03σ / 0.90σ，且如后文 §7.5 指出，这个方向和权益轴有 pro-rata 耦合，扣掉「权益隐含变化」贡献之后残差 ≈ 0.9σ。视作「suggestive 但不能完全从权益混淆里分离出来」。</w:t>
      </w:r>
    </w:p>
    <w:p w14:paraId="2049A002" w14:textId="77777777" w:rsidR="008F5E7F" w:rsidRDefault="00000000">
      <w:pPr>
        <w:pStyle w:val="ListBullet"/>
        <w:spacing w:after="40" w:line="312" w:lineRule="auto"/>
      </w:pPr>
      <w:r>
        <w:rPr>
          <w:rFonts w:eastAsia="SimSun"/>
        </w:rPr>
        <w:t>**信用债轴**：+10pp Δ IS Sh = +0.001（0.01σ！几乎完全为零）、−10pp Δ IS Sh = +0.025（0.24σ）—— IS 上完全无信号。OOS 上两个方向反而同号（−0.30 和 +0.16 都是「离 base 走」但 Sharpe 变化方向不定）——**结构性噪声**。</w:t>
      </w:r>
    </w:p>
    <w:p w14:paraId="438C3C3A" w14:textId="77777777" w:rsidR="008F5E7F" w:rsidRDefault="00000000">
      <w:pPr>
        <w:pStyle w:val="ListBullet"/>
        <w:spacing w:after="40" w:line="312" w:lineRule="auto"/>
      </w:pPr>
      <w:r>
        <w:rPr>
          <w:rFonts w:eastAsia="SimSun"/>
        </w:rPr>
        <w:t>**商品轴**：+10pp Δ IS Sh = +0.002（0.02σ）、−10pp = −0.051（0.49σ），OOS 上一个 −0.17、一个 +0.16 —— **也是噪声**。</w:t>
      </w:r>
    </w:p>
    <w:p w14:paraId="75EF4C31" w14:textId="77777777" w:rsidR="008F5E7F" w:rsidRDefault="00000000">
      <w:pPr>
        <w:spacing w:after="80" w:line="336" w:lineRule="auto"/>
        <w:ind w:firstLine="454"/>
      </w:pPr>
      <w:r>
        <w:rPr>
          <w:rFonts w:eastAsia="SimSun"/>
        </w:rPr>
        <w:t>**归口结论**：8 个方向里，能从 cross-cell σ 噪声里剥出来的只有 2 个 —— 权益轴的对称对读，以及利率债 −10pp 的单向大幅移动（且部分被权益混淆解释）。**信用债和商品两个轴，本实验无法给出可信的方向性判断。**</w:t>
      </w:r>
    </w:p>
    <w:p w14:paraId="784AECCF" w14:textId="77777777" w:rsidR="008F5E7F" w:rsidRDefault="00000000">
      <w:pPr>
        <w:pStyle w:val="Heading2"/>
      </w:pPr>
      <w:r>
        <w:rPr>
          <w:rFonts w:ascii="SimHei" w:eastAsia="SimHei" w:hAnsi="SimHei"/>
        </w:rPr>
        <w:t>7.4 权益轴 —— 唯一可以放心断言的方向</w:t>
      </w:r>
    </w:p>
    <w:p w14:paraId="6D6BA886" w14:textId="77777777" w:rsidR="008F5E7F" w:rsidRDefault="00000000">
      <w:pPr>
        <w:jc w:val="center"/>
      </w:pPr>
      <w:r>
        <w:rPr>
          <w:noProof/>
        </w:rPr>
        <w:drawing>
          <wp:inline distT="0" distB="0" distL="0" distR="0" wp14:anchorId="420132F4" wp14:editId="430C90A9">
            <wp:extent cx="5580000" cy="181622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p1_03_equity_dominance.png"/>
                    <pic:cNvPicPr/>
                  </pic:nvPicPr>
                  <pic:blipFill>
                    <a:blip r:embed="rId23"/>
                    <a:stretch>
                      <a:fillRect/>
                    </a:stretch>
                  </pic:blipFill>
                  <pic:spPr>
                    <a:xfrm>
                      <a:off x="0" y="0"/>
                      <a:ext cx="5580000" cy="1816222"/>
                    </a:xfrm>
                    <a:prstGeom prst="rect">
                      <a:avLst/>
                    </a:prstGeom>
                  </pic:spPr>
                </pic:pic>
              </a:graphicData>
            </a:graphic>
          </wp:inline>
        </w:drawing>
      </w:r>
    </w:p>
    <w:p w14:paraId="562D091A" w14:textId="77777777" w:rsidR="008F5E7F" w:rsidRDefault="00000000">
      <w:pPr>
        <w:jc w:val="center"/>
      </w:pPr>
      <w:r>
        <w:rPr>
          <w:rFonts w:eastAsia="SimSun"/>
          <w:color w:val="666666"/>
          <w:sz w:val="18"/>
        </w:rPr>
        <w:t>图 26  实验一：80-cell 上 OOS 夏普 / CAGR / 最大回撤 vs 权益占比 —— 三个截面内部一致（权益 ↑ 拉高 CAGR、恶化 DD、拉低 Sharpe）</w:t>
      </w:r>
    </w:p>
    <w:p w14:paraId="18C2FDFE" w14:textId="77777777" w:rsidR="008F5E7F" w:rsidRDefault="00000000">
      <w:pPr>
        <w:spacing w:after="80" w:line="336" w:lineRule="auto"/>
        <w:ind w:firstLine="454"/>
      </w:pPr>
      <w:r>
        <w:rPr>
          <w:rFonts w:eastAsia="SimSun"/>
        </w:rPr>
        <w:t>80 cell 上「权益占比 vs OOS 指标」的三个 marginal 相关系数：OOS Sharpe corr = -0.62（斜率 -27.12/10pp），OOS CAGR corr = +0.41（斜率 +18.65 pp/10pp），OOS 最大回撤 corr = -0.53（斜率 -7.67 pp/10pp）。换句话说，**在 80 cell 上，权益占比每+10pp，OOS 组合会拿到 +0.19 pp 的 CAGR、−0.08 pp 的最大回撤（更深）、−0.27 的 Sharpe**。三个指标彼此内部一致，也与「权益是高波动 / 高预期收益的类别」的经济学直觉一致。</w:t>
      </w:r>
    </w:p>
    <w:p w14:paraId="0B96C10F" w14:textId="77777777" w:rsidR="008F5E7F" w:rsidRDefault="00000000">
      <w:pPr>
        <w:spacing w:after="80" w:line="336" w:lineRule="auto"/>
        <w:ind w:firstLine="454"/>
      </w:pPr>
      <w:r>
        <w:rPr>
          <w:rFonts w:eastAsia="SimSun"/>
        </w:rPr>
        <w:lastRenderedPageBreak/>
        <w:t>对比图 26 三个 panel，权益占比与三个指标的散点云都有清晰斜率 —— 这就是「除了直觉，还有数据支撑」的结构信号。IS 上 corr 也稳定（IS Sharpe corr = -0.69），IS/OOS 同号，非 IS-fit artifact。</w:t>
      </w:r>
    </w:p>
    <w:p w14:paraId="31791060" w14:textId="77777777" w:rsidR="008F5E7F" w:rsidRDefault="00000000">
      <w:pPr>
        <w:spacing w:after="80" w:line="336" w:lineRule="auto"/>
        <w:ind w:firstLine="454"/>
      </w:pPr>
      <w:r>
        <w:rPr>
          <w:rFonts w:eastAsia="SimSun"/>
        </w:rPr>
        <w:t>**唯一可信的建议**：现在 base 的 55% 权益占比处在 Sharpe-suboptimal 区的偏上侧；如果目标是抬 Sharpe，把权益向 45–50% 的方向移动是可以支持的（IS + OOS 都指向同一方向）。但要清楚这条建议是以「CAGR 少 5–8 bp/10pp」为代价买回来的，如果目标反而是最大化 CAGR，则应该维持甚至加高权益占比。</w:t>
      </w:r>
    </w:p>
    <w:p w14:paraId="0C7607FF" w14:textId="77777777" w:rsidR="008F5E7F" w:rsidRDefault="00000000">
      <w:pPr>
        <w:pStyle w:val="Heading2"/>
      </w:pPr>
      <w:r>
        <w:rPr>
          <w:rFonts w:ascii="SimHei" w:eastAsia="SimHei" w:hAnsi="SimHei"/>
        </w:rPr>
        <w:t>7.5 为什么另外三轴的效应不能拆出来</w:t>
      </w:r>
    </w:p>
    <w:p w14:paraId="271D824D" w14:textId="77777777" w:rsidR="008F5E7F" w:rsidRDefault="00000000">
      <w:pPr>
        <w:spacing w:after="80" w:line="336" w:lineRule="auto"/>
        <w:ind w:firstLine="454"/>
      </w:pPr>
      <w:r>
        <w:rPr>
          <w:rFonts w:eastAsia="SimSun"/>
        </w:rPr>
        <w:t>如果只看 marginal correlation，会发现其他三轴看似也有相关性：利率债 vs OOS Sh corr = +0.74、信用债 vs OOS Sh corr = +0.43、商品 vs OOS Sh corr = -0.41。看起来利率债 / 信用债正相关、商品负相关。但这些相关性都被「权益轴的耦合」污染了。</w:t>
      </w:r>
    </w:p>
    <w:p w14:paraId="321C9472" w14:textId="77777777" w:rsidR="008F5E7F" w:rsidRDefault="00000000">
      <w:pPr>
        <w:jc w:val="center"/>
      </w:pPr>
      <w:r>
        <w:rPr>
          <w:noProof/>
        </w:rPr>
        <w:drawing>
          <wp:inline distT="0" distB="0" distL="0" distR="0" wp14:anchorId="54166AF3" wp14:editId="7B11D805">
            <wp:extent cx="5580000" cy="347902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p1_02_marginal_scatters.png"/>
                    <pic:cNvPicPr/>
                  </pic:nvPicPr>
                  <pic:blipFill>
                    <a:blip r:embed="rId24"/>
                    <a:stretch>
                      <a:fillRect/>
                    </a:stretch>
                  </pic:blipFill>
                  <pic:spPr>
                    <a:xfrm>
                      <a:off x="0" y="0"/>
                      <a:ext cx="5580000" cy="3479028"/>
                    </a:xfrm>
                    <a:prstGeom prst="rect">
                      <a:avLst/>
                    </a:prstGeom>
                  </pic:spPr>
                </pic:pic>
              </a:graphicData>
            </a:graphic>
          </wp:inline>
        </w:drawing>
      </w:r>
    </w:p>
    <w:p w14:paraId="0D77B667" w14:textId="77777777" w:rsidR="008F5E7F" w:rsidRDefault="00000000">
      <w:pPr>
        <w:jc w:val="center"/>
      </w:pPr>
      <w:r>
        <w:rPr>
          <w:rFonts w:eastAsia="SimSun"/>
          <w:color w:val="666666"/>
          <w:sz w:val="18"/>
        </w:rPr>
        <w:t>图 27  实验一：4 轴各自 share vs OOS 夏普 —— 只有权益是负斜率清晰、散点密度均匀；其他三轴的散点云更宽、结构性更弱</w:t>
      </w:r>
    </w:p>
    <w:p w14:paraId="449D50DA" w14:textId="77777777" w:rsidR="008F5E7F" w:rsidRDefault="00000000">
      <w:pPr>
        <w:spacing w:after="80" w:line="336" w:lineRule="auto"/>
        <w:ind w:firstLine="454"/>
      </w:pPr>
      <w:r>
        <w:rPr>
          <w:rFonts w:eastAsia="SimSun"/>
        </w:rPr>
        <w:t>污染的来源是「4 shares 之和恒等于 100%」的约束：任何一个轴 ±10pp 的移动都**必然**会让其他三轴反向移动。本实验里的补偿方式是 pro-rata by base share，所以「利率债 −10pp」实际上包含「权益 +6.9pp、信用债 +1.4pp、商品 +1.7pp」的合成移动 —— 其中的权益 +6.9pp 已经足以解释相当一部分的 OOS Sh 恶化。</w:t>
      </w:r>
    </w:p>
    <w:p w14:paraId="6233A751" w14:textId="77777777" w:rsidR="008F5E7F" w:rsidRDefault="00000000">
      <w:pPr>
        <w:spacing w:after="80" w:line="336" w:lineRule="auto"/>
        <w:ind w:firstLine="454"/>
      </w:pPr>
      <w:r>
        <w:rPr>
          <w:rFonts w:eastAsia="SimSun"/>
        </w:rPr>
        <w:lastRenderedPageBreak/>
        <w:t>定量验证：用 §7.4 的权益单边斜率 (−0.27/10pp OOS Sh) 反推 「利率债 −10pp 时权益隐含涨 +6.9pp」的贡献 = 6.9/10 × (−0.30) = −0.21 OOS Sh。观测到的「利率债 −10pp」的 Δ OOS Sh = −0.57，扣掉权益混淆项后残差约 −0.36 —— 仍属 0.9σ 量级，可视作「suggestive of 利率债 shares 也重要」，但显著性不足以做独立断言。</w:t>
      </w:r>
    </w:p>
    <w:p w14:paraId="72A6AC62" w14:textId="77777777" w:rsidR="008F5E7F" w:rsidRDefault="00000000">
      <w:pPr>
        <w:jc w:val="center"/>
      </w:pPr>
      <w:r>
        <w:rPr>
          <w:noProof/>
        </w:rPr>
        <w:drawing>
          <wp:inline distT="0" distB="0" distL="0" distR="0" wp14:anchorId="76993FA9" wp14:editId="702C1C5F">
            <wp:extent cx="5580000" cy="252568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p1_04_top_bottom.png"/>
                    <pic:cNvPicPr/>
                  </pic:nvPicPr>
                  <pic:blipFill>
                    <a:blip r:embed="rId25"/>
                    <a:stretch>
                      <a:fillRect/>
                    </a:stretch>
                  </pic:blipFill>
                  <pic:spPr>
                    <a:xfrm>
                      <a:off x="0" y="0"/>
                      <a:ext cx="5580000" cy="2525684"/>
                    </a:xfrm>
                    <a:prstGeom prst="rect">
                      <a:avLst/>
                    </a:prstGeom>
                  </pic:spPr>
                </pic:pic>
              </a:graphicData>
            </a:graphic>
          </wp:inline>
        </w:drawing>
      </w:r>
    </w:p>
    <w:p w14:paraId="7F302342" w14:textId="77777777" w:rsidR="008F5E7F" w:rsidRDefault="00000000">
      <w:pPr>
        <w:jc w:val="center"/>
      </w:pPr>
      <w:r>
        <w:rPr>
          <w:rFonts w:eastAsia="SimSun"/>
          <w:color w:val="666666"/>
          <w:sz w:val="18"/>
        </w:rPr>
        <w:t>图 28  实验一：Top-5 vs Bottom-5 (按 OOS 夏普) 的 4 轴平均 shares —— 唯一系统性差距在权益（47.2% vs 69.7%），其他三轴的差距要么很小、要么与权益差距强相关</w:t>
      </w:r>
    </w:p>
    <w:p w14:paraId="74C59E53" w14:textId="77777777" w:rsidR="008F5E7F" w:rsidRDefault="00000000">
      <w:pPr>
        <w:spacing w:after="80" w:line="336" w:lineRule="auto"/>
        <w:ind w:firstLine="454"/>
      </w:pPr>
      <w:r>
        <w:rPr>
          <w:rFonts w:eastAsia="SimSun"/>
        </w:rPr>
        <w:t>看图 28 一眼可以更直观地读出：Top-5 和 Bottom-5 之间**唯一稳定的差异**在权益（Δ 约 -22.5 pp）；利率债、信用债、商品三轴虽也有差异，但都可以由「权益反方向变化 + pro-rata 分摊」解释掉。因此 —— **和之前 markdown 报告里「bond_rates 是最陡的轴、应当把 bond_rates share 抬高」的结论相比，本报告采取更保守的读法：能得出的结论只有「权益略偏高」这一条**。</w:t>
      </w:r>
    </w:p>
    <w:p w14:paraId="5C57C006" w14:textId="77777777" w:rsidR="008F5E7F" w:rsidRDefault="00000000">
      <w:pPr>
        <w:pStyle w:val="Heading2"/>
      </w:pPr>
      <w:r>
        <w:rPr>
          <w:rFonts w:ascii="SimHei" w:eastAsia="SimHei" w:hAnsi="SimHei"/>
        </w:rPr>
        <w:t>7.6 实验一小结</w:t>
      </w:r>
    </w:p>
    <w:p w14:paraId="2D6E9959" w14:textId="77777777" w:rsidR="008F5E7F" w:rsidRDefault="00000000">
      <w:pPr>
        <w:pStyle w:val="ListBullet"/>
        <w:spacing w:after="40" w:line="312" w:lineRule="auto"/>
      </w:pPr>
      <w:r>
        <w:rPr>
          <w:rFonts w:eastAsia="SimSun"/>
        </w:rPr>
        <w:t>**base 未处于 Sharpe-最优**：EW 25/25/25/25 的 OOS Sharpe 高出 base 约 +0.53，Top-5 grid cell 权益均值 47.2% ——base 的 55% 权益比 Sharpe-favored 区略偏上侧。</w:t>
      </w:r>
    </w:p>
    <w:p w14:paraId="06FDA5C8" w14:textId="77777777" w:rsidR="008F5E7F" w:rsidRDefault="00000000">
      <w:pPr>
        <w:pStyle w:val="ListBullet"/>
        <w:spacing w:after="40" w:line="312" w:lineRule="auto"/>
      </w:pPr>
      <w:r>
        <w:rPr>
          <w:rFonts w:eastAsia="SimSun"/>
        </w:rPr>
        <w:t>**唯一可信的方向**：权益 ↑ → CAGR ↑ / DD 恶化 / Sharpe ↓。这条对称、IS/OOS 同号、marginal corr 稳定，任何单点在噪声带内，但整体图形结构清晰。</w:t>
      </w:r>
    </w:p>
    <w:p w14:paraId="4BCD90D8" w14:textId="77777777" w:rsidR="008F5E7F" w:rsidRDefault="00000000">
      <w:pPr>
        <w:pStyle w:val="ListBullet"/>
        <w:spacing w:after="40" w:line="312" w:lineRule="auto"/>
      </w:pPr>
      <w:r>
        <w:rPr>
          <w:rFonts w:eastAsia="SimSun"/>
        </w:rPr>
        <w:t>**其他三轴不做独立断言**：信用债 / 商品的 IS Δ ≈ 0；利率债 −10pp 的大幅移动部分被权益混淆解释；剩余残差 ~0.9σ 达不到断言门槛。跨 80-cell 的 OOS Sharpe σ = 0.40，把这作为读表噪声带。</w:t>
      </w:r>
    </w:p>
    <w:p w14:paraId="283A883C" w14:textId="77777777" w:rsidR="008F5E7F" w:rsidRDefault="00000000">
      <w:pPr>
        <w:pStyle w:val="ListBullet"/>
        <w:spacing w:after="40" w:line="312" w:lineRule="auto"/>
      </w:pPr>
      <w:r>
        <w:rPr>
          <w:rFonts w:eastAsia="SimSun"/>
        </w:rPr>
        <w:t>**不建议立即重调 policy shares**：EW − base 的 OOS Sharpe Δ 只是 ~1.3σ，而且 base 目前已经是 finalist 的一部分并通过了 §四.6 的 stress test。本实验建议作为「经济学先验的 gut-check」使用（结论：先验方向偏 equity-heavy），而不是作为 optimizer 结果去落地新的 shares。</w:t>
      </w:r>
    </w:p>
    <w:p w14:paraId="68893080" w14:textId="77777777" w:rsidR="008F5E7F" w:rsidRDefault="00000000">
      <w:pPr>
        <w:pStyle w:val="ListBullet"/>
        <w:spacing w:after="40" w:line="312" w:lineRule="auto"/>
      </w:pPr>
      <w:r>
        <w:rPr>
          <w:rFonts w:eastAsia="SimSun"/>
        </w:rPr>
        <w:lastRenderedPageBreak/>
        <w:t>**v7 阶段的潜在动作**：若未来想据此重构 policy shares，需要至少两点补强：(a) 采用更小步长（如 ±2–5 pp）+ 更长 OOS 窗口，在权益 45–55% 区间做二次扫描，把「更保守的权益权重是否有一致 OOS 益处」验证到 2σ 以上；(b) 用受约束的多变量拟合（如 log-ratio 表征 + Lasso）取代 pro-rata 补偿，减弱轴之间的耦合。当前实验足以启发方向，但不足以直接落地。</w:t>
      </w:r>
    </w:p>
    <w:p w14:paraId="72167C02" w14:textId="77777777" w:rsidR="008F5E7F" w:rsidRDefault="00000000">
      <w:pPr>
        <w:pStyle w:val="Heading1"/>
      </w:pPr>
      <w:r>
        <w:rPr>
          <w:rFonts w:ascii="SimHei" w:eastAsia="SimHei" w:hAnsi="SimHei"/>
        </w:rPr>
        <w:t>八、实验二 · 非-α 块的代表集压缩</w:t>
      </w:r>
    </w:p>
    <w:p w14:paraId="63A04CF0" w14:textId="77777777" w:rsidR="008F5E7F" w:rsidRDefault="00000000">
      <w:pPr>
        <w:pStyle w:val="Heading2"/>
      </w:pPr>
      <w:r>
        <w:rPr>
          <w:rFonts w:ascii="SimHei" w:eastAsia="SimHei" w:hAnsi="SimHei"/>
        </w:rPr>
        <w:t>8.1 出发点与做法</w:t>
      </w:r>
    </w:p>
    <w:p w14:paraId="17B488E7" w14:textId="77777777" w:rsidR="008F5E7F" w:rsidRDefault="00000000">
      <w:pPr>
        <w:spacing w:after="80" w:line="336" w:lineRule="auto"/>
        <w:ind w:firstLine="454"/>
      </w:pPr>
      <w:r>
        <w:rPr>
          <w:rFonts w:eastAsia="SimSun"/>
        </w:rPr>
        <w:t>上面第三/四节的双层结构里，6 个非-α 块（bond_rates、bond_credit、cross_border_dm、cross_border_hk、metals、commodity_other）都是块内 1/σ 反比全持——所有入池 ETF 都持有一点权重。随着 v6 池子不断纳新（cross_border_hk 从 2020 年的 2 只涨到 2025 年的 22 只，cross_border_dm 从 3 只涨到 18 只），「全持」在名义合规和交易可行性上都开始变得笨重；实验二试图回答：能不能只留每个聚类里一支代表 ETF、让代表继承整个聚类的 1/σ 权重，尽量复刻「全持」的行为？</w:t>
      </w:r>
    </w:p>
    <w:p w14:paraId="03F4C71C" w14:textId="77777777" w:rsidR="008F5E7F" w:rsidRDefault="00000000">
      <w:pPr>
        <w:spacing w:after="80" w:line="336" w:lineRule="auto"/>
      </w:pPr>
      <w:r>
        <w:rPr>
          <w:rFonts w:eastAsia="SimSun"/>
        </w:rPr>
        <w:t>方法要点：</w:t>
      </w:r>
    </w:p>
    <w:p w14:paraId="608731B2" w14:textId="77777777" w:rsidR="008F5E7F" w:rsidRDefault="00000000">
      <w:pPr>
        <w:pStyle w:val="ListBullet"/>
        <w:spacing w:after="40" w:line="312" w:lineRule="auto"/>
      </w:pPr>
      <w:r>
        <w:rPr>
          <w:rFonts w:eastAsia="SimSun"/>
        </w:rPr>
        <w:t>在每年 refresh date（每年第一根 W-FRI）上，用严格 causal 的过去 52/78/104 周滚动相关阵求 D = √(2·(1−ρ̄))，做 complete-linkage 层次聚类。</w:t>
      </w:r>
    </w:p>
    <w:p w14:paraId="3D8A602B" w14:textId="77777777" w:rsidR="008F5E7F" w:rsidRDefault="00000000">
      <w:pPr>
        <w:pStyle w:val="ListBullet"/>
        <w:spacing w:after="40" w:line="312" w:lineRule="auto"/>
      </w:pPr>
      <w:r>
        <w:rPr>
          <w:rFonts w:eastAsia="SimSun"/>
        </w:rPr>
        <w:t>**K 不是输入，是输出**：以「代表组合 vs 全持组合的残差年化波动 / 全持年化波动 ≤ 0.20」为准则，从 K=1 起递增，第一次满足阈值的 K 即为该块该年的 K。等价于解释方差 ≥ 96%。</w:t>
      </w:r>
    </w:p>
    <w:p w14:paraId="009817AF" w14:textId="77777777" w:rsidR="008F5E7F" w:rsidRDefault="00000000">
      <w:pPr>
        <w:pStyle w:val="ListBullet"/>
        <w:spacing w:after="40" w:line="312" w:lineRule="auto"/>
      </w:pPr>
      <w:r>
        <w:rPr>
          <w:rFonts w:eastAsia="SimSun"/>
        </w:rPr>
        <w:t>每聚类的代表 = 该聚类内 63 日均日成交额（ADV）最高的 ETF，无预测指标。代表承接整个聚类的 1/σ 权重。</w:t>
      </w:r>
    </w:p>
    <w:p w14:paraId="65D141AE" w14:textId="77777777" w:rsidR="008F5E7F" w:rsidRDefault="00000000">
      <w:pPr>
        <w:pStyle w:val="ListBullet"/>
        <w:spacing w:after="40" w:line="312" w:lineRule="auto"/>
      </w:pPr>
      <w:r>
        <w:rPr>
          <w:rFonts w:eastAsia="SimSun"/>
        </w:rPr>
        <w:t>刷新频率 = 每年一次（每年首个 W-FRI），Layer-1 / Layer-2 / α 层 / 成本口径全部沿用第四节冻结的 finalist (q=0.20, ε=0.30)，只替换 6 个非-α 块的子权重构造函数——任何 Δ 都可以干净归因到「代表集 vs 全持」这一维度。</w:t>
      </w:r>
    </w:p>
    <w:p w14:paraId="27D19764" w14:textId="77777777" w:rsidR="008F5E7F" w:rsidRDefault="00000000">
      <w:pPr>
        <w:spacing w:after="80" w:line="336" w:lineRule="auto"/>
        <w:ind w:firstLine="454"/>
      </w:pPr>
      <w:r>
        <w:rPr>
          <w:rFonts w:eastAsia="SimSun"/>
        </w:rPr>
        <w:t>warmup-trim 与第三/四节完全一致：两本书共同 first-live 为 2019-05-31，IS = 该点 → 2023-12-31，OOS = 2024-01-01 → 2025-07-31。</w:t>
      </w:r>
    </w:p>
    <w:p w14:paraId="2EA99AD7" w14:textId="77777777" w:rsidR="008F5E7F" w:rsidRDefault="00000000">
      <w:pPr>
        <w:pStyle w:val="Heading2"/>
      </w:pPr>
      <w:r>
        <w:rPr>
          <w:rFonts w:ascii="SimHei" w:eastAsia="SimHei" w:hAnsi="SimHei"/>
        </w:rPr>
        <w:t>8.2 K 的时序：K vs N</w:t>
      </w:r>
    </w:p>
    <w:p w14:paraId="3BA5F6D5" w14:textId="77777777" w:rsidR="008F5E7F" w:rsidRDefault="00000000">
      <w:pPr>
        <w:spacing w:after="80" w:line="336" w:lineRule="auto"/>
        <w:ind w:firstLine="454"/>
      </w:pPr>
      <w:r>
        <w:rPr>
          <w:rFonts w:eastAsia="SimSun"/>
        </w:rPr>
        <w:t>先看 K 随时间的变化。刷新逻辑是每年一次，每年每块单独选 K：</w:t>
      </w:r>
    </w:p>
    <w:p w14:paraId="68FB2337" w14:textId="77777777" w:rsidR="008F5E7F" w:rsidRDefault="00000000">
      <w:pPr>
        <w:jc w:val="center"/>
      </w:pPr>
      <w:r>
        <w:rPr>
          <w:noProof/>
        </w:rPr>
        <w:lastRenderedPageBreak/>
        <w:drawing>
          <wp:inline distT="0" distB="0" distL="0" distR="0" wp14:anchorId="67494A97" wp14:editId="01BF7A38">
            <wp:extent cx="5580000" cy="291369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p2_07_k_by_year.png"/>
                    <pic:cNvPicPr/>
                  </pic:nvPicPr>
                  <pic:blipFill>
                    <a:blip r:embed="rId26"/>
                    <a:stretch>
                      <a:fillRect/>
                    </a:stretch>
                  </pic:blipFill>
                  <pic:spPr>
                    <a:xfrm>
                      <a:off x="0" y="0"/>
                      <a:ext cx="5580000" cy="2913694"/>
                    </a:xfrm>
                    <a:prstGeom prst="rect">
                      <a:avLst/>
                    </a:prstGeom>
                  </pic:spPr>
                </pic:pic>
              </a:graphicData>
            </a:graphic>
          </wp:inline>
        </w:drawing>
      </w:r>
    </w:p>
    <w:p w14:paraId="0582ED05" w14:textId="77777777" w:rsidR="008F5E7F" w:rsidRDefault="00000000">
      <w:pPr>
        <w:jc w:val="center"/>
      </w:pPr>
      <w:r>
        <w:rPr>
          <w:rFonts w:eastAsia="SimSun"/>
          <w:color w:val="666666"/>
          <w:sz w:val="18"/>
        </w:rPr>
        <w:t>图 18  实验二：adaptive-K 每年每块的 K / N（残差波动阈 0.20）</w:t>
      </w:r>
    </w:p>
    <w:p w14:paraId="0ACB8BD9" w14:textId="77777777" w:rsidR="008F5E7F" w:rsidRDefault="00000000">
      <w:pPr>
        <w:spacing w:after="80" w:line="336" w:lineRule="auto"/>
      </w:pPr>
      <w:r>
        <w:rPr>
          <w:rFonts w:eastAsia="SimSun"/>
        </w:rPr>
        <w:t>读图要点：</w:t>
      </w:r>
    </w:p>
    <w:p w14:paraId="3DC0ABB2" w14:textId="77777777" w:rsidR="008F5E7F" w:rsidRDefault="00000000">
      <w:pPr>
        <w:pStyle w:val="ListBullet"/>
        <w:spacing w:after="40" w:line="312" w:lineRule="auto"/>
      </w:pPr>
      <w:r>
        <w:rPr>
          <w:rFonts w:eastAsia="SimSun"/>
        </w:rPr>
        <w:t>cross_border_hk 从 2020 年 K/N = 1/2 长到 2025 年 K/N = 6/22——N 一路涨到 22 只，K 只需要 6 只就把残差波动压到 16.5% 阈值以下。换句话说，池子里 73% 的名字是可以被 6 只代表复刻的。</w:t>
      </w:r>
    </w:p>
    <w:p w14:paraId="2387976B" w14:textId="77777777" w:rsidR="008F5E7F" w:rsidRDefault="00000000">
      <w:pPr>
        <w:pStyle w:val="ListBullet"/>
        <w:spacing w:after="40" w:line="312" w:lineRule="auto"/>
      </w:pPr>
      <w:r>
        <w:rPr>
          <w:rFonts w:eastAsia="SimSun"/>
        </w:rPr>
        <w:t>cross_border_dm 一直保持 K = N（每只自己一个聚类），直到 2025 年才因新入池的名字大多落入已有聚类而首次出现 K &lt; N（11 / 18）——这就是「块内异质性」的直接证据，而不是方法失效。</w:t>
      </w:r>
    </w:p>
    <w:p w14:paraId="23C8AFDA" w14:textId="77777777" w:rsidR="008F5E7F" w:rsidRDefault="00000000">
      <w:pPr>
        <w:pStyle w:val="ListBullet"/>
        <w:spacing w:after="40" w:line="312" w:lineRule="auto"/>
      </w:pPr>
      <w:r>
        <w:rPr>
          <w:rFonts w:eastAsia="SimSun"/>
        </w:rPr>
        <w:t>bond_rates、bond_credit 从 2 只/2 只逐步扩张到 12 只/5 只，对应的 K 也从 2/2、1/2 增到 8/12、4/5——都在阈值一次性满足即停。</w:t>
      </w:r>
    </w:p>
    <w:p w14:paraId="650EF8B6" w14:textId="77777777" w:rsidR="008F5E7F" w:rsidRDefault="00000000">
      <w:pPr>
        <w:pStyle w:val="Heading2"/>
      </w:pPr>
      <w:r>
        <w:rPr>
          <w:rFonts w:ascii="SimHei" w:eastAsia="SimHei" w:hAnsi="SimHei"/>
        </w:rPr>
        <w:t>8.3 组合层面的 IS / OOS 三窗指标</w:t>
      </w:r>
    </w:p>
    <w:p w14:paraId="0A685901" w14:textId="77777777" w:rsidR="008F5E7F" w:rsidRDefault="00000000">
      <w:pPr>
        <w:spacing w:after="80" w:line="336" w:lineRule="auto"/>
        <w:ind w:firstLine="454"/>
      </w:pPr>
      <w:r>
        <w:rPr>
          <w:rFonts w:eastAsia="SimSun"/>
        </w:rPr>
        <w:t>把「全持 vs 代表集」两本书放到 finalist (q=0.20, ε=0.30) 里，分别跑一次完整的双层组合。10 bp / 单边成本口径下的三窗指标：</w:t>
      </w:r>
    </w:p>
    <w:tbl>
      <w:tblPr>
        <w:tblStyle w:val="LightGrid-Accent1"/>
        <w:tblW w:w="0" w:type="auto"/>
        <w:jc w:val="center"/>
        <w:tblLook w:val="04A0" w:firstRow="1" w:lastRow="0" w:firstColumn="1" w:lastColumn="0" w:noHBand="0" w:noVBand="1"/>
      </w:tblPr>
      <w:tblGrid>
        <w:gridCol w:w="1344"/>
        <w:gridCol w:w="1344"/>
        <w:gridCol w:w="1344"/>
        <w:gridCol w:w="1344"/>
        <w:gridCol w:w="1344"/>
        <w:gridCol w:w="1344"/>
        <w:gridCol w:w="1344"/>
      </w:tblGrid>
      <w:tr w:rsidR="008F5E7F" w14:paraId="06A54198" w14:textId="77777777" w:rsidTr="008F5E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02B2AA4" w14:textId="77777777" w:rsidR="008F5E7F" w:rsidRDefault="00000000">
            <w:pPr>
              <w:jc w:val="center"/>
            </w:pPr>
            <w:r>
              <w:rPr>
                <w:rFonts w:eastAsia="SimSun"/>
                <w:sz w:val="20"/>
              </w:rPr>
              <w:t>书</w:t>
            </w:r>
          </w:p>
        </w:tc>
        <w:tc>
          <w:tcPr>
            <w:tcW w:w="1344" w:type="dxa"/>
          </w:tcPr>
          <w:p w14:paraId="730FC704"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窗口</w:t>
            </w:r>
          </w:p>
        </w:tc>
        <w:tc>
          <w:tcPr>
            <w:tcW w:w="1344" w:type="dxa"/>
          </w:tcPr>
          <w:p w14:paraId="3F52E4CE"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净夏普</w:t>
            </w:r>
          </w:p>
        </w:tc>
        <w:tc>
          <w:tcPr>
            <w:tcW w:w="1344" w:type="dxa"/>
          </w:tcPr>
          <w:p w14:paraId="6A209284"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CAGR</w:t>
            </w:r>
          </w:p>
        </w:tc>
        <w:tc>
          <w:tcPr>
            <w:tcW w:w="1344" w:type="dxa"/>
          </w:tcPr>
          <w:p w14:paraId="7EA1D06E"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年化波动</w:t>
            </w:r>
          </w:p>
        </w:tc>
        <w:tc>
          <w:tcPr>
            <w:tcW w:w="1344" w:type="dxa"/>
          </w:tcPr>
          <w:p w14:paraId="20C5FD2E"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最大回撤</w:t>
            </w:r>
          </w:p>
        </w:tc>
        <w:tc>
          <w:tcPr>
            <w:tcW w:w="1344" w:type="dxa"/>
          </w:tcPr>
          <w:p w14:paraId="668E92DE"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Calmar</w:t>
            </w:r>
          </w:p>
        </w:tc>
      </w:tr>
      <w:tr w:rsidR="008F5E7F" w14:paraId="14B940AF"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CD209C3" w14:textId="77777777" w:rsidR="008F5E7F" w:rsidRDefault="00000000">
            <w:pPr>
              <w:jc w:val="center"/>
            </w:pPr>
            <w:r>
              <w:rPr>
                <w:rFonts w:eastAsia="SimSun"/>
                <w:sz w:val="20"/>
              </w:rPr>
              <w:t>全持 hold-all (K̄=38.1)</w:t>
            </w:r>
          </w:p>
        </w:tc>
        <w:tc>
          <w:tcPr>
            <w:tcW w:w="1344" w:type="dxa"/>
          </w:tcPr>
          <w:p w14:paraId="70CD3163"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样本内</w:t>
            </w:r>
          </w:p>
        </w:tc>
        <w:tc>
          <w:tcPr>
            <w:tcW w:w="1344" w:type="dxa"/>
          </w:tcPr>
          <w:p w14:paraId="0AECA1F9"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+1.577</w:t>
            </w:r>
          </w:p>
        </w:tc>
        <w:tc>
          <w:tcPr>
            <w:tcW w:w="1344" w:type="dxa"/>
          </w:tcPr>
          <w:p w14:paraId="330E7C70"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+4.24%</w:t>
            </w:r>
          </w:p>
        </w:tc>
        <w:tc>
          <w:tcPr>
            <w:tcW w:w="1344" w:type="dxa"/>
          </w:tcPr>
          <w:p w14:paraId="4DC8AA41"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+2.90%</w:t>
            </w:r>
          </w:p>
        </w:tc>
        <w:tc>
          <w:tcPr>
            <w:tcW w:w="1344" w:type="dxa"/>
          </w:tcPr>
          <w:p w14:paraId="26386A1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-2.54%</w:t>
            </w:r>
          </w:p>
        </w:tc>
        <w:tc>
          <w:tcPr>
            <w:tcW w:w="1344" w:type="dxa"/>
          </w:tcPr>
          <w:p w14:paraId="5D4AAC1A"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1.67</w:t>
            </w:r>
          </w:p>
        </w:tc>
      </w:tr>
      <w:tr w:rsidR="008F5E7F" w14:paraId="0E1046C8"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1F327E2" w14:textId="77777777" w:rsidR="008F5E7F" w:rsidRDefault="00000000">
            <w:pPr>
              <w:jc w:val="center"/>
            </w:pPr>
            <w:r>
              <w:rPr>
                <w:rFonts w:eastAsia="SimSun"/>
                <w:sz w:val="20"/>
              </w:rPr>
              <w:t>全持 hold-all (K̄=38.1)</w:t>
            </w:r>
          </w:p>
        </w:tc>
        <w:tc>
          <w:tcPr>
            <w:tcW w:w="1344" w:type="dxa"/>
          </w:tcPr>
          <w:p w14:paraId="084DC652"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样本外</w:t>
            </w:r>
          </w:p>
        </w:tc>
        <w:tc>
          <w:tcPr>
            <w:tcW w:w="1344" w:type="dxa"/>
          </w:tcPr>
          <w:p w14:paraId="2ABDFAA0"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+3.621</w:t>
            </w:r>
          </w:p>
        </w:tc>
        <w:tc>
          <w:tcPr>
            <w:tcW w:w="1344" w:type="dxa"/>
          </w:tcPr>
          <w:p w14:paraId="5544A6DD"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+4.48%</w:t>
            </w:r>
          </w:p>
        </w:tc>
        <w:tc>
          <w:tcPr>
            <w:tcW w:w="1344" w:type="dxa"/>
          </w:tcPr>
          <w:p w14:paraId="45C244DA"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+1.25%</w:t>
            </w:r>
          </w:p>
        </w:tc>
        <w:tc>
          <w:tcPr>
            <w:tcW w:w="1344" w:type="dxa"/>
          </w:tcPr>
          <w:p w14:paraId="48D82D7F"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-0.36%</w:t>
            </w:r>
          </w:p>
        </w:tc>
        <w:tc>
          <w:tcPr>
            <w:tcW w:w="1344" w:type="dxa"/>
          </w:tcPr>
          <w:p w14:paraId="285633DC"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12.55</w:t>
            </w:r>
          </w:p>
        </w:tc>
      </w:tr>
      <w:tr w:rsidR="008F5E7F" w14:paraId="32EAAF95"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178218D" w14:textId="77777777" w:rsidR="008F5E7F" w:rsidRDefault="00000000">
            <w:pPr>
              <w:jc w:val="center"/>
            </w:pPr>
            <w:r>
              <w:rPr>
                <w:rFonts w:eastAsia="SimSun"/>
                <w:sz w:val="20"/>
              </w:rPr>
              <w:t>全持 hold-all (K̄=38.1)</w:t>
            </w:r>
          </w:p>
        </w:tc>
        <w:tc>
          <w:tcPr>
            <w:tcW w:w="1344" w:type="dxa"/>
          </w:tcPr>
          <w:p w14:paraId="18ABEF39"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全窗</w:t>
            </w:r>
          </w:p>
        </w:tc>
        <w:tc>
          <w:tcPr>
            <w:tcW w:w="1344" w:type="dxa"/>
          </w:tcPr>
          <w:p w14:paraId="17051EBF"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+1.768</w:t>
            </w:r>
          </w:p>
        </w:tc>
        <w:tc>
          <w:tcPr>
            <w:tcW w:w="1344" w:type="dxa"/>
          </w:tcPr>
          <w:p w14:paraId="3A79525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+4.10%</w:t>
            </w:r>
          </w:p>
        </w:tc>
        <w:tc>
          <w:tcPr>
            <w:tcW w:w="1344" w:type="dxa"/>
          </w:tcPr>
          <w:p w14:paraId="5B589BFC"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+2.58%</w:t>
            </w:r>
          </w:p>
        </w:tc>
        <w:tc>
          <w:tcPr>
            <w:tcW w:w="1344" w:type="dxa"/>
          </w:tcPr>
          <w:p w14:paraId="7164FE3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-2.54%</w:t>
            </w:r>
          </w:p>
        </w:tc>
        <w:tc>
          <w:tcPr>
            <w:tcW w:w="1344" w:type="dxa"/>
          </w:tcPr>
          <w:p w14:paraId="4A7984DB"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1.61</w:t>
            </w:r>
          </w:p>
        </w:tc>
      </w:tr>
      <w:tr w:rsidR="008F5E7F" w14:paraId="0BF6122F"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05EC1CA" w14:textId="77777777" w:rsidR="008F5E7F" w:rsidRDefault="00000000">
            <w:pPr>
              <w:jc w:val="center"/>
            </w:pPr>
            <w:r>
              <w:rPr>
                <w:rFonts w:eastAsia="SimSun"/>
                <w:sz w:val="20"/>
              </w:rPr>
              <w:t xml:space="preserve">代表集 </w:t>
            </w:r>
            <w:r>
              <w:rPr>
                <w:rFonts w:eastAsia="SimSun"/>
                <w:sz w:val="20"/>
              </w:rPr>
              <w:lastRenderedPageBreak/>
              <w:t>adaptive (K̄=24.1)</w:t>
            </w:r>
          </w:p>
        </w:tc>
        <w:tc>
          <w:tcPr>
            <w:tcW w:w="1344" w:type="dxa"/>
          </w:tcPr>
          <w:p w14:paraId="7E3D5A57"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lastRenderedPageBreak/>
              <w:t>样本内</w:t>
            </w:r>
          </w:p>
        </w:tc>
        <w:tc>
          <w:tcPr>
            <w:tcW w:w="1344" w:type="dxa"/>
          </w:tcPr>
          <w:p w14:paraId="12BFB478"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+1.529</w:t>
            </w:r>
          </w:p>
        </w:tc>
        <w:tc>
          <w:tcPr>
            <w:tcW w:w="1344" w:type="dxa"/>
          </w:tcPr>
          <w:p w14:paraId="5F7B129E"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+3.91%</w:t>
            </w:r>
          </w:p>
        </w:tc>
        <w:tc>
          <w:tcPr>
            <w:tcW w:w="1344" w:type="dxa"/>
          </w:tcPr>
          <w:p w14:paraId="0F862BFD"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+2.74%</w:t>
            </w:r>
          </w:p>
        </w:tc>
        <w:tc>
          <w:tcPr>
            <w:tcW w:w="1344" w:type="dxa"/>
          </w:tcPr>
          <w:p w14:paraId="295254AA"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-2.54%</w:t>
            </w:r>
          </w:p>
        </w:tc>
        <w:tc>
          <w:tcPr>
            <w:tcW w:w="1344" w:type="dxa"/>
          </w:tcPr>
          <w:p w14:paraId="5686C9BC"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1.54</w:t>
            </w:r>
          </w:p>
        </w:tc>
      </w:tr>
      <w:tr w:rsidR="008F5E7F" w14:paraId="63DAF156"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A24433A" w14:textId="77777777" w:rsidR="008F5E7F" w:rsidRDefault="00000000">
            <w:pPr>
              <w:jc w:val="center"/>
            </w:pPr>
            <w:r>
              <w:rPr>
                <w:rFonts w:eastAsia="SimSun"/>
                <w:sz w:val="20"/>
              </w:rPr>
              <w:t>代表集 adaptive (K̄=24.1)</w:t>
            </w:r>
          </w:p>
        </w:tc>
        <w:tc>
          <w:tcPr>
            <w:tcW w:w="1344" w:type="dxa"/>
          </w:tcPr>
          <w:p w14:paraId="5C340413"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样本外</w:t>
            </w:r>
          </w:p>
        </w:tc>
        <w:tc>
          <w:tcPr>
            <w:tcW w:w="1344" w:type="dxa"/>
          </w:tcPr>
          <w:p w14:paraId="528D3E6B"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+4.078</w:t>
            </w:r>
          </w:p>
        </w:tc>
        <w:tc>
          <w:tcPr>
            <w:tcW w:w="1344" w:type="dxa"/>
          </w:tcPr>
          <w:p w14:paraId="0FA06FD5"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+4.11%</w:t>
            </w:r>
          </w:p>
        </w:tc>
        <w:tc>
          <w:tcPr>
            <w:tcW w:w="1344" w:type="dxa"/>
          </w:tcPr>
          <w:p w14:paraId="18EEF381"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+1.02%</w:t>
            </w:r>
          </w:p>
        </w:tc>
        <w:tc>
          <w:tcPr>
            <w:tcW w:w="1344" w:type="dxa"/>
          </w:tcPr>
          <w:p w14:paraId="22006D63"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-0.31%</w:t>
            </w:r>
          </w:p>
        </w:tc>
        <w:tc>
          <w:tcPr>
            <w:tcW w:w="1344" w:type="dxa"/>
          </w:tcPr>
          <w:p w14:paraId="05713A6C"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13.10</w:t>
            </w:r>
          </w:p>
        </w:tc>
      </w:tr>
      <w:tr w:rsidR="008F5E7F" w14:paraId="4E29D5FB"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169619B" w14:textId="77777777" w:rsidR="008F5E7F" w:rsidRDefault="00000000">
            <w:pPr>
              <w:jc w:val="center"/>
            </w:pPr>
            <w:r>
              <w:rPr>
                <w:rFonts w:eastAsia="SimSun"/>
                <w:sz w:val="20"/>
              </w:rPr>
              <w:t>代表集 adaptive (K̄=24.1)</w:t>
            </w:r>
          </w:p>
        </w:tc>
        <w:tc>
          <w:tcPr>
            <w:tcW w:w="1344" w:type="dxa"/>
          </w:tcPr>
          <w:p w14:paraId="22D270B2"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全窗</w:t>
            </w:r>
          </w:p>
        </w:tc>
        <w:tc>
          <w:tcPr>
            <w:tcW w:w="1344" w:type="dxa"/>
          </w:tcPr>
          <w:p w14:paraId="7E3A1A07"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+1.727</w:t>
            </w:r>
          </w:p>
        </w:tc>
        <w:tc>
          <w:tcPr>
            <w:tcW w:w="1344" w:type="dxa"/>
          </w:tcPr>
          <w:p w14:paraId="160575AF"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+3.79%</w:t>
            </w:r>
          </w:p>
        </w:tc>
        <w:tc>
          <w:tcPr>
            <w:tcW w:w="1344" w:type="dxa"/>
          </w:tcPr>
          <w:p w14:paraId="6A8066B4"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+2.42%</w:t>
            </w:r>
          </w:p>
        </w:tc>
        <w:tc>
          <w:tcPr>
            <w:tcW w:w="1344" w:type="dxa"/>
          </w:tcPr>
          <w:p w14:paraId="5AF10711"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-2.54%</w:t>
            </w:r>
          </w:p>
        </w:tc>
        <w:tc>
          <w:tcPr>
            <w:tcW w:w="1344" w:type="dxa"/>
          </w:tcPr>
          <w:p w14:paraId="6BA904CB"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1.49</w:t>
            </w:r>
          </w:p>
        </w:tc>
      </w:tr>
    </w:tbl>
    <w:p w14:paraId="3602F027" w14:textId="77777777" w:rsidR="008F5E7F" w:rsidRDefault="00000000">
      <w:pPr>
        <w:spacing w:after="80" w:line="336" w:lineRule="auto"/>
      </w:pPr>
      <w:r>
        <w:rPr>
          <w:rFonts w:eastAsia="SimSun"/>
        </w:rPr>
        <w:t>Δ（代表集 − 全持）：</w:t>
      </w:r>
    </w:p>
    <w:tbl>
      <w:tblPr>
        <w:tblStyle w:val="LightGrid-Accent1"/>
        <w:tblW w:w="0" w:type="auto"/>
        <w:jc w:val="center"/>
        <w:tblLook w:val="04A0" w:firstRow="1" w:lastRow="0" w:firstColumn="1" w:lastColumn="0" w:noHBand="0" w:noVBand="1"/>
      </w:tblPr>
      <w:tblGrid>
        <w:gridCol w:w="1417"/>
        <w:gridCol w:w="1474"/>
        <w:gridCol w:w="1701"/>
        <w:gridCol w:w="1701"/>
        <w:gridCol w:w="1701"/>
      </w:tblGrid>
      <w:tr w:rsidR="008F5E7F" w14:paraId="14D6B292" w14:textId="77777777" w:rsidTr="008F5E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29C3C636" w14:textId="77777777" w:rsidR="008F5E7F" w:rsidRDefault="00000000">
            <w:pPr>
              <w:jc w:val="center"/>
            </w:pPr>
            <w:r>
              <w:rPr>
                <w:rFonts w:eastAsia="SimSun"/>
                <w:sz w:val="20"/>
              </w:rPr>
              <w:t>窗口</w:t>
            </w:r>
          </w:p>
        </w:tc>
        <w:tc>
          <w:tcPr>
            <w:tcW w:w="1474" w:type="dxa"/>
          </w:tcPr>
          <w:p w14:paraId="5697C861"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Δ 夏普</w:t>
            </w:r>
          </w:p>
        </w:tc>
        <w:tc>
          <w:tcPr>
            <w:tcW w:w="1701" w:type="dxa"/>
          </w:tcPr>
          <w:p w14:paraId="17EF0503"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Δ CAGR</w:t>
            </w:r>
          </w:p>
        </w:tc>
        <w:tc>
          <w:tcPr>
            <w:tcW w:w="1701" w:type="dxa"/>
          </w:tcPr>
          <w:p w14:paraId="479FFA6A"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Δ 年化波动</w:t>
            </w:r>
          </w:p>
        </w:tc>
        <w:tc>
          <w:tcPr>
            <w:tcW w:w="1701" w:type="dxa"/>
          </w:tcPr>
          <w:p w14:paraId="5F56826F"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Δ 最大回撤</w:t>
            </w:r>
          </w:p>
        </w:tc>
      </w:tr>
      <w:tr w:rsidR="008F5E7F" w14:paraId="30BDCACE"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0B8D4124" w14:textId="77777777" w:rsidR="008F5E7F" w:rsidRDefault="00000000">
            <w:pPr>
              <w:jc w:val="center"/>
            </w:pPr>
            <w:r>
              <w:rPr>
                <w:rFonts w:eastAsia="SimSun"/>
                <w:sz w:val="20"/>
              </w:rPr>
              <w:t>样本内</w:t>
            </w:r>
          </w:p>
        </w:tc>
        <w:tc>
          <w:tcPr>
            <w:tcW w:w="1474" w:type="dxa"/>
          </w:tcPr>
          <w:p w14:paraId="4508BB19"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-0.048</w:t>
            </w:r>
          </w:p>
        </w:tc>
        <w:tc>
          <w:tcPr>
            <w:tcW w:w="1701" w:type="dxa"/>
          </w:tcPr>
          <w:p w14:paraId="7AFE90AF"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-0.33 pp</w:t>
            </w:r>
          </w:p>
        </w:tc>
        <w:tc>
          <w:tcPr>
            <w:tcW w:w="1701" w:type="dxa"/>
          </w:tcPr>
          <w:p w14:paraId="13018B4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-0.16 pp</w:t>
            </w:r>
          </w:p>
        </w:tc>
        <w:tc>
          <w:tcPr>
            <w:tcW w:w="1701" w:type="dxa"/>
          </w:tcPr>
          <w:p w14:paraId="3D48E674"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+0.00 pp</w:t>
            </w:r>
          </w:p>
        </w:tc>
      </w:tr>
      <w:tr w:rsidR="008F5E7F" w14:paraId="5FC2F374"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7C1A126E" w14:textId="77777777" w:rsidR="008F5E7F" w:rsidRDefault="00000000">
            <w:pPr>
              <w:jc w:val="center"/>
            </w:pPr>
            <w:r>
              <w:rPr>
                <w:rFonts w:eastAsia="SimSun"/>
                <w:sz w:val="20"/>
              </w:rPr>
              <w:t>样本外</w:t>
            </w:r>
          </w:p>
        </w:tc>
        <w:tc>
          <w:tcPr>
            <w:tcW w:w="1474" w:type="dxa"/>
          </w:tcPr>
          <w:p w14:paraId="0F41FEC0"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+0.457</w:t>
            </w:r>
          </w:p>
        </w:tc>
        <w:tc>
          <w:tcPr>
            <w:tcW w:w="1701" w:type="dxa"/>
          </w:tcPr>
          <w:p w14:paraId="71D6B7BB"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-0.37 pp</w:t>
            </w:r>
          </w:p>
        </w:tc>
        <w:tc>
          <w:tcPr>
            <w:tcW w:w="1701" w:type="dxa"/>
          </w:tcPr>
          <w:p w14:paraId="555372AC"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-0.23 pp</w:t>
            </w:r>
          </w:p>
        </w:tc>
        <w:tc>
          <w:tcPr>
            <w:tcW w:w="1701" w:type="dxa"/>
          </w:tcPr>
          <w:p w14:paraId="7D632658"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+0.04 pp</w:t>
            </w:r>
          </w:p>
        </w:tc>
      </w:tr>
      <w:tr w:rsidR="008F5E7F" w14:paraId="50A64474"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5502A226" w14:textId="77777777" w:rsidR="008F5E7F" w:rsidRDefault="00000000">
            <w:pPr>
              <w:jc w:val="center"/>
            </w:pPr>
            <w:r>
              <w:rPr>
                <w:rFonts w:eastAsia="SimSun"/>
                <w:sz w:val="20"/>
              </w:rPr>
              <w:t>全窗</w:t>
            </w:r>
          </w:p>
        </w:tc>
        <w:tc>
          <w:tcPr>
            <w:tcW w:w="1474" w:type="dxa"/>
          </w:tcPr>
          <w:p w14:paraId="6113730E"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-0.041</w:t>
            </w:r>
          </w:p>
        </w:tc>
        <w:tc>
          <w:tcPr>
            <w:tcW w:w="1701" w:type="dxa"/>
          </w:tcPr>
          <w:p w14:paraId="4231C57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-0.31 pp</w:t>
            </w:r>
          </w:p>
        </w:tc>
        <w:tc>
          <w:tcPr>
            <w:tcW w:w="1701" w:type="dxa"/>
          </w:tcPr>
          <w:p w14:paraId="0A7136DB"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-0.16 pp</w:t>
            </w:r>
          </w:p>
        </w:tc>
        <w:tc>
          <w:tcPr>
            <w:tcW w:w="1701" w:type="dxa"/>
          </w:tcPr>
          <w:p w14:paraId="3452341E"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+0.00 pp</w:t>
            </w:r>
          </w:p>
        </w:tc>
      </w:tr>
    </w:tbl>
    <w:p w14:paraId="159D0304" w14:textId="77777777" w:rsidR="008F5E7F" w:rsidRDefault="00000000">
      <w:pPr>
        <w:spacing w:after="80" w:line="336" w:lineRule="auto"/>
        <w:ind w:firstLine="454"/>
      </w:pPr>
      <w:r>
        <w:rPr>
          <w:rFonts w:eastAsia="SimSun"/>
        </w:rPr>
        <w:t>**关键读数——把此前 markdown 报告里的结论修正回来**：</w:t>
      </w:r>
    </w:p>
    <w:p w14:paraId="43896102" w14:textId="77777777" w:rsidR="008F5E7F" w:rsidRDefault="00000000">
      <w:pPr>
        <w:pStyle w:val="ListBullet"/>
        <w:spacing w:after="40" w:line="312" w:lineRule="auto"/>
      </w:pPr>
      <w:r>
        <w:rPr>
          <w:rFonts w:eastAsia="SimSun"/>
        </w:rPr>
        <w:t>IS 上代表集是「几乎打平」：Sharpe −0.048、CAGR −0.33 pp、DD 完全一致。这一部分行为很符合直觉：训练窗口里，全持和代表集本来就把同一批风险源拆成同一批组合，Δ 只反映聚类残差与 refresh 成本。</w:t>
      </w:r>
    </w:p>
    <w:p w14:paraId="085B582E" w14:textId="77777777" w:rsidR="008F5E7F" w:rsidRDefault="00000000">
      <w:pPr>
        <w:pStyle w:val="ListBullet"/>
        <w:spacing w:after="40" w:line="312" w:lineRule="auto"/>
      </w:pPr>
      <w:r>
        <w:rPr>
          <w:rFonts w:eastAsia="SimSun"/>
        </w:rPr>
        <w:t>OOS 上 Sharpe 从 +3.62 抬升到 +4.08（Δ +0.46）看似很漂亮，但**收益并没有上升——OOS CAGR 反而从 +4.48% 掉到 +4.11%（Δ -0.37 pp）**。Sharpe 抬升的**全部来源是年化波动被压下去**——从 +1.25% 缩到 +1.02%（相对减幅 −18.6%）。</w:t>
      </w:r>
    </w:p>
    <w:p w14:paraId="33529702" w14:textId="77777777" w:rsidR="008F5E7F" w:rsidRDefault="00000000">
      <w:pPr>
        <w:pStyle w:val="ListBullet"/>
        <w:spacing w:after="40" w:line="312" w:lineRule="auto"/>
      </w:pPr>
      <w:r>
        <w:rPr>
          <w:rFonts w:eastAsia="SimSun"/>
        </w:rPr>
        <w:t>所以 OOS 的改善本质是一次 **风险压缩**，而不是「收益变好」。早期 v1 markdown 里的口径读起来像是代表集在 OOS 上产生了 α，那是不准确的——真实故事是「代表集用少一点的名字、更稳的持仓，把 OOS 波动压得更低，同一批 α 的分子被稍削、分母被大削」。</w:t>
      </w:r>
    </w:p>
    <w:p w14:paraId="0277E758" w14:textId="77777777" w:rsidR="008F5E7F" w:rsidRDefault="00000000">
      <w:pPr>
        <w:pStyle w:val="Heading2"/>
      </w:pPr>
      <w:r>
        <w:rPr>
          <w:rFonts w:ascii="SimHei" w:eastAsia="SimHei" w:hAnsi="SimHei"/>
        </w:rPr>
        <w:t>8.4 波动压缩的直接证据 · 分年度收益与年化波动</w:t>
      </w:r>
    </w:p>
    <w:p w14:paraId="4CF2D69C" w14:textId="77777777" w:rsidR="008F5E7F" w:rsidRDefault="00000000">
      <w:pPr>
        <w:spacing w:after="80" w:line="336" w:lineRule="auto"/>
        <w:ind w:firstLine="454"/>
      </w:pPr>
      <w:r>
        <w:rPr>
          <w:rFonts w:eastAsia="SimSun"/>
        </w:rPr>
        <w:t>把两本书拆到每一年看：上图是全年净收益，下图是全年年化波动。对比两栏可以直接读出「Sharpe 抬升靠什么」。</w:t>
      </w:r>
    </w:p>
    <w:p w14:paraId="1B200EFF" w14:textId="77777777" w:rsidR="008F5E7F" w:rsidRDefault="00000000">
      <w:pPr>
        <w:jc w:val="center"/>
      </w:pPr>
      <w:r>
        <w:rPr>
          <w:noProof/>
        </w:rPr>
        <w:lastRenderedPageBreak/>
        <w:drawing>
          <wp:inline distT="0" distB="0" distL="0" distR="0" wp14:anchorId="29C07762" wp14:editId="57B0B78E">
            <wp:extent cx="5580000" cy="352969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p2_05_yearly.png"/>
                    <pic:cNvPicPr/>
                  </pic:nvPicPr>
                  <pic:blipFill>
                    <a:blip r:embed="rId27"/>
                    <a:stretch>
                      <a:fillRect/>
                    </a:stretch>
                  </pic:blipFill>
                  <pic:spPr>
                    <a:xfrm>
                      <a:off x="0" y="0"/>
                      <a:ext cx="5580000" cy="3529693"/>
                    </a:xfrm>
                    <a:prstGeom prst="rect">
                      <a:avLst/>
                    </a:prstGeom>
                  </pic:spPr>
                </pic:pic>
              </a:graphicData>
            </a:graphic>
          </wp:inline>
        </w:drawing>
      </w:r>
    </w:p>
    <w:p w14:paraId="37EBFB78" w14:textId="77777777" w:rsidR="008F5E7F" w:rsidRDefault="00000000">
      <w:pPr>
        <w:jc w:val="center"/>
      </w:pPr>
      <w:r>
        <w:rPr>
          <w:rFonts w:eastAsia="SimSun"/>
          <w:color w:val="666666"/>
          <w:sz w:val="18"/>
        </w:rPr>
        <w:t>图 19  实验二：全年净收益（上）vs 全年年化波动（下）——OOS 段（灰线右侧）代表集收益略低但波动系统性收窄</w:t>
      </w:r>
    </w:p>
    <w:p w14:paraId="731AF239" w14:textId="77777777" w:rsidR="008F5E7F" w:rsidRDefault="00000000">
      <w:pPr>
        <w:spacing w:after="80" w:line="336" w:lineRule="auto"/>
        <w:ind w:firstLine="454"/>
      </w:pPr>
      <w:r>
        <w:rPr>
          <w:rFonts w:eastAsia="SimSun"/>
        </w:rPr>
        <w:t>分年度看有几个稳定的规律：</w:t>
      </w:r>
    </w:p>
    <w:p w14:paraId="6BCB676B" w14:textId="77777777" w:rsidR="008F5E7F" w:rsidRDefault="00000000">
      <w:pPr>
        <w:pStyle w:val="ListBullet"/>
        <w:spacing w:after="40" w:line="312" w:lineRule="auto"/>
      </w:pPr>
      <w:r>
        <w:rPr>
          <w:rFonts w:eastAsia="SimSun"/>
        </w:rPr>
        <w:t>2019–2023 IS 段：两本书的年度收益基本一致，代表集在 2020/2022 略输一点，反映聚类残差的路径依赖；同时年化波动几乎每一年都被代表集压低（2020 4.40% → 4.19%，2021 2.99% → 2.78%，2022 1.98% → 1.76%，2023 1.21% → 0.87%）。</w:t>
      </w:r>
    </w:p>
    <w:p w14:paraId="754B77AB" w14:textId="77777777" w:rsidR="008F5E7F" w:rsidRDefault="00000000">
      <w:pPr>
        <w:pStyle w:val="ListBullet"/>
        <w:spacing w:after="40" w:line="312" w:lineRule="auto"/>
      </w:pPr>
      <w:r>
        <w:rPr>
          <w:rFonts w:eastAsia="SimSun"/>
        </w:rPr>
        <w:t>2024–2025 OOS 段：2024 年代表集收益 5.30% 略输全持 5.71%，但波动从 1.42% 压到 1.11%——波动比收益少的幅度大得多，所以 2024 年年化 Sharpe 反而抬升。2025 上半年是同样的现象。</w:t>
      </w:r>
    </w:p>
    <w:p w14:paraId="6B3AC870" w14:textId="77777777" w:rsidR="008F5E7F" w:rsidRDefault="00000000">
      <w:pPr>
        <w:pStyle w:val="Heading2"/>
      </w:pPr>
      <w:r>
        <w:rPr>
          <w:rFonts w:ascii="SimHei" w:eastAsia="SimHei" w:hAnsi="SimHei"/>
        </w:rPr>
        <w:t>8.5 为什么波动会被系统性压低——两个候选假说</w:t>
      </w:r>
    </w:p>
    <w:p w14:paraId="4928717D" w14:textId="77777777" w:rsidR="008F5E7F" w:rsidRDefault="00000000">
      <w:pPr>
        <w:spacing w:after="80" w:line="336" w:lineRule="auto"/>
        <w:ind w:firstLine="454"/>
      </w:pPr>
      <w:r>
        <w:rPr>
          <w:rFonts w:eastAsia="SimSun"/>
        </w:rPr>
        <w:t>本报告倾向的解释是**新入池 ETF 的规模/微结构噪声在 OOS 段被年度刷新过滤掉了**：根据观察，v6 每年新准入的 ETF 通常来自次新品类（跨境宽基 / 新兴主题债券 / 细分商品），这些 ETF 上市初期 AUM 通常不大、日成交额（ADV）相对稀薄，反映到周频回报里就是**收益近似而波动更粗**——即使按 1/σ 反比配权，小样本估的 σ 本身就有偏，配权也没有完全抵消。全持口径每周都把这些新名字持在组合里，噪声就直接进书；代表集口径下，新名字只有在**下一次年度 refresh** 且**被选为聚类代表**（top-ADV，天然偏向大 AUM 老名字）时才会进书——刚上市的小 AUM ETF 有很大概率被聚类到一支已有老 ETF 后面，其权重直接由老代表继承。</w:t>
      </w:r>
    </w:p>
    <w:p w14:paraId="2F96AB8B" w14:textId="77777777" w:rsidR="008F5E7F" w:rsidRDefault="00000000">
      <w:pPr>
        <w:spacing w:after="80" w:line="336" w:lineRule="auto"/>
        <w:ind w:firstLine="454"/>
      </w:pPr>
      <w:r>
        <w:rPr>
          <w:rFonts w:eastAsia="SimSun"/>
        </w:rPr>
        <w:lastRenderedPageBreak/>
        <w:t>这与观察到的现象吻合：cross_border_hk 2024 / 2025 分别有 17/22 只入池，但代表数只保留 5 / 6——被压掉的 12 / 16 只名字大多是次新 ETF，而年化波动的 OOS 减幅恰好也集中在这两年。换句话说，「年度 refresh + top-ADV 代表」这一组合起到了**噪声-新股过滤**的效果，属于代表集的意外副作用（既不是策略设计的目标，也不是集成 α 的贡献）。</w:t>
      </w:r>
    </w:p>
    <w:p w14:paraId="423FB2E3" w14:textId="77777777" w:rsidR="008F5E7F" w:rsidRDefault="00000000">
      <w:pPr>
        <w:spacing w:after="80" w:line="336" w:lineRule="auto"/>
        <w:ind w:firstLine="454"/>
      </w:pPr>
      <w:r>
        <w:rPr>
          <w:rFonts w:eastAsia="SimSun"/>
        </w:rPr>
        <w:t>作为对照，还有第二个候选假说值得列出：即聚类本身的**几何平均效应**——把同一聚类里 N 支强相关 ETF合并成一支代表，损失了「聚类内 idiosyncratic 波动」这一分量，但同时也损失了它们之间的分散化。如果聚类内平均相关系数 ρ̄ 足够高（本实验大部分块 ρ̄ ≥ 0.90，参见 §7.2 K 表），损失分散化的边际影响比损失 idio 的边际影响小，净效果仍然是 σ 下降。这个假说与「新入池 ETF 噪声过滤」并不互斥，更可能是两者叠加。</w:t>
      </w:r>
    </w:p>
    <w:p w14:paraId="20BE7B91" w14:textId="77777777" w:rsidR="008F5E7F" w:rsidRDefault="00000000">
      <w:pPr>
        <w:spacing w:after="80" w:line="336" w:lineRule="auto"/>
        <w:ind w:firstLine="454"/>
      </w:pPr>
      <w:r>
        <w:rPr>
          <w:rFonts w:eastAsia="SimSun"/>
        </w:rPr>
        <w:t>从策略生产的角度看，无论是哪个假说主导，**结论仍然是同一个**：如果目标是「用尽量少的名字复刻宽持仓」，代表集方案是 Pareto 改进（Sharpe 上升 + 名字数下降 + 波动下降，只以微小的收益让渡为代价）；但如果目标是「压榨 α」，本实验没有额外贡献，Sharpe 抬升是风险端的红利而非收益端的红利。</w:t>
      </w:r>
    </w:p>
    <w:p w14:paraId="46973FFE" w14:textId="77777777" w:rsidR="008F5E7F" w:rsidRDefault="00000000">
      <w:pPr>
        <w:pStyle w:val="Heading2"/>
      </w:pPr>
      <w:r>
        <w:rPr>
          <w:rFonts w:ascii="SimHei" w:eastAsia="SimHei" w:hAnsi="SimHei"/>
        </w:rPr>
        <w:t>8.6 净值与回撤路径</w:t>
      </w:r>
    </w:p>
    <w:p w14:paraId="337ED6B4" w14:textId="77777777" w:rsidR="008F5E7F" w:rsidRDefault="00000000">
      <w:pPr>
        <w:jc w:val="center"/>
      </w:pPr>
      <w:r>
        <w:rPr>
          <w:noProof/>
        </w:rPr>
        <w:drawing>
          <wp:inline distT="0" distB="0" distL="0" distR="0" wp14:anchorId="317EA1F9" wp14:editId="621889B3">
            <wp:extent cx="5580000" cy="264315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p2_01_nav_full.png"/>
                    <pic:cNvPicPr/>
                  </pic:nvPicPr>
                  <pic:blipFill>
                    <a:blip r:embed="rId28"/>
                    <a:stretch>
                      <a:fillRect/>
                    </a:stretch>
                  </pic:blipFill>
                  <pic:spPr>
                    <a:xfrm>
                      <a:off x="0" y="0"/>
                      <a:ext cx="5580000" cy="2643158"/>
                    </a:xfrm>
                    <a:prstGeom prst="rect">
                      <a:avLst/>
                    </a:prstGeom>
                  </pic:spPr>
                </pic:pic>
              </a:graphicData>
            </a:graphic>
          </wp:inline>
        </w:drawing>
      </w:r>
    </w:p>
    <w:p w14:paraId="23FF92A8" w14:textId="77777777" w:rsidR="008F5E7F" w:rsidRDefault="00000000">
      <w:pPr>
        <w:jc w:val="center"/>
      </w:pPr>
      <w:r>
        <w:rPr>
          <w:rFonts w:eastAsia="SimSun"/>
          <w:color w:val="666666"/>
          <w:sz w:val="18"/>
        </w:rPr>
        <w:t>图 20  实验二：全窗净值（起始 = 1，含 10 bp/单边成本）</w:t>
      </w:r>
    </w:p>
    <w:p w14:paraId="1EA9F3A7" w14:textId="77777777" w:rsidR="008F5E7F" w:rsidRDefault="00000000">
      <w:pPr>
        <w:spacing w:after="80" w:line="336" w:lineRule="auto"/>
        <w:ind w:firstLine="454"/>
      </w:pPr>
      <w:r>
        <w:rPr>
          <w:rFonts w:eastAsia="SimSun"/>
        </w:rPr>
        <w:t>全窗看两条曲线几乎重合，代表集在 IS 段略低——这正是「小额收益让渡」的直接体现。转到 OOS 段（2024-01-01 之后），两条曲线的斜率变化几乎一致，但代表集的日常抖动明显更小。</w:t>
      </w:r>
    </w:p>
    <w:p w14:paraId="78F4FF1E" w14:textId="77777777" w:rsidR="008F5E7F" w:rsidRDefault="00000000">
      <w:pPr>
        <w:jc w:val="center"/>
      </w:pPr>
      <w:r>
        <w:rPr>
          <w:noProof/>
        </w:rPr>
        <w:lastRenderedPageBreak/>
        <w:drawing>
          <wp:inline distT="0" distB="0" distL="0" distR="0" wp14:anchorId="6267735D" wp14:editId="35C1A0BC">
            <wp:extent cx="5580000" cy="2645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p2_02_dd_full.png"/>
                    <pic:cNvPicPr/>
                  </pic:nvPicPr>
                  <pic:blipFill>
                    <a:blip r:embed="rId29"/>
                    <a:stretch>
                      <a:fillRect/>
                    </a:stretch>
                  </pic:blipFill>
                  <pic:spPr>
                    <a:xfrm>
                      <a:off x="0" y="0"/>
                      <a:ext cx="5580000" cy="2645300"/>
                    </a:xfrm>
                    <a:prstGeom prst="rect">
                      <a:avLst/>
                    </a:prstGeom>
                  </pic:spPr>
                </pic:pic>
              </a:graphicData>
            </a:graphic>
          </wp:inline>
        </w:drawing>
      </w:r>
    </w:p>
    <w:p w14:paraId="69EC1D9A" w14:textId="77777777" w:rsidR="008F5E7F" w:rsidRDefault="00000000">
      <w:pPr>
        <w:jc w:val="center"/>
      </w:pPr>
      <w:r>
        <w:rPr>
          <w:rFonts w:eastAsia="SimSun"/>
          <w:color w:val="666666"/>
          <w:sz w:val="18"/>
        </w:rPr>
        <w:t>图 21  实验二：全窗回撤路径</w:t>
      </w:r>
    </w:p>
    <w:p w14:paraId="223898F4" w14:textId="77777777" w:rsidR="008F5E7F" w:rsidRDefault="00000000">
      <w:pPr>
        <w:spacing w:after="80" w:line="336" w:lineRule="auto"/>
        <w:ind w:firstLine="454"/>
      </w:pPr>
      <w:r>
        <w:rPr>
          <w:rFonts w:eastAsia="SimSun"/>
        </w:rPr>
        <w:t>回撤面板层面，代表集的最大回撤（−2.54%）与全持完全一致，都发生在 2022 年 11 月信用债回调期；OOS 段的两次浅回撤（2024 年 10 月、2025 年 4 月），代表集反而比全持略深一点——这是波动压缩带来的副产物：更平的净值线在遇到共同下跌事件时，回撤深度差异并不显著。</w:t>
      </w:r>
    </w:p>
    <w:p w14:paraId="705093B7" w14:textId="77777777" w:rsidR="008F5E7F" w:rsidRDefault="00000000">
      <w:pPr>
        <w:jc w:val="center"/>
      </w:pPr>
      <w:r>
        <w:rPr>
          <w:noProof/>
        </w:rPr>
        <w:drawing>
          <wp:inline distT="0" distB="0" distL="0" distR="0" wp14:anchorId="60401FFD" wp14:editId="171828FF">
            <wp:extent cx="5580000" cy="2645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p2_03_nav_oos.png"/>
                    <pic:cNvPicPr/>
                  </pic:nvPicPr>
                  <pic:blipFill>
                    <a:blip r:embed="rId30"/>
                    <a:stretch>
                      <a:fillRect/>
                    </a:stretch>
                  </pic:blipFill>
                  <pic:spPr>
                    <a:xfrm>
                      <a:off x="0" y="0"/>
                      <a:ext cx="5580000" cy="2645300"/>
                    </a:xfrm>
                    <a:prstGeom prst="rect">
                      <a:avLst/>
                    </a:prstGeom>
                  </pic:spPr>
                </pic:pic>
              </a:graphicData>
            </a:graphic>
          </wp:inline>
        </w:drawing>
      </w:r>
    </w:p>
    <w:p w14:paraId="5E3FD3D5" w14:textId="77777777" w:rsidR="008F5E7F" w:rsidRDefault="00000000">
      <w:pPr>
        <w:jc w:val="center"/>
      </w:pPr>
      <w:r>
        <w:rPr>
          <w:rFonts w:eastAsia="SimSun"/>
          <w:color w:val="666666"/>
          <w:sz w:val="18"/>
        </w:rPr>
        <w:t>图 22  实验二：OOS 窗口净值</w:t>
      </w:r>
    </w:p>
    <w:p w14:paraId="51AE7210" w14:textId="77777777" w:rsidR="008F5E7F" w:rsidRDefault="00000000">
      <w:pPr>
        <w:jc w:val="center"/>
      </w:pPr>
      <w:r>
        <w:rPr>
          <w:noProof/>
        </w:rPr>
        <w:lastRenderedPageBreak/>
        <w:drawing>
          <wp:inline distT="0" distB="0" distL="0" distR="0" wp14:anchorId="14E96A53" wp14:editId="59A0A1A8">
            <wp:extent cx="5580000" cy="26453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p2_04_dd_oos.png"/>
                    <pic:cNvPicPr/>
                  </pic:nvPicPr>
                  <pic:blipFill>
                    <a:blip r:embed="rId31"/>
                    <a:stretch>
                      <a:fillRect/>
                    </a:stretch>
                  </pic:blipFill>
                  <pic:spPr>
                    <a:xfrm>
                      <a:off x="0" y="0"/>
                      <a:ext cx="5580000" cy="2645300"/>
                    </a:xfrm>
                    <a:prstGeom prst="rect">
                      <a:avLst/>
                    </a:prstGeom>
                  </pic:spPr>
                </pic:pic>
              </a:graphicData>
            </a:graphic>
          </wp:inline>
        </w:drawing>
      </w:r>
    </w:p>
    <w:p w14:paraId="2C5AA7EE" w14:textId="77777777" w:rsidR="008F5E7F" w:rsidRDefault="00000000">
      <w:pPr>
        <w:jc w:val="center"/>
      </w:pPr>
      <w:r>
        <w:rPr>
          <w:rFonts w:eastAsia="SimSun"/>
          <w:color w:val="666666"/>
          <w:sz w:val="18"/>
        </w:rPr>
        <w:t>图 23  实验二：OOS 窗口回撤</w:t>
      </w:r>
    </w:p>
    <w:p w14:paraId="2CE92051" w14:textId="77777777" w:rsidR="008F5E7F" w:rsidRDefault="00000000">
      <w:pPr>
        <w:pStyle w:val="Heading2"/>
      </w:pPr>
      <w:r>
        <w:rPr>
          <w:rFonts w:ascii="SimHei" w:eastAsia="SimHei" w:hAnsi="SimHei"/>
        </w:rPr>
        <w:t>8.7 换手与 refresh-week 成本</w:t>
      </w:r>
    </w:p>
    <w:p w14:paraId="06898883" w14:textId="77777777" w:rsidR="008F5E7F" w:rsidRDefault="00000000">
      <w:pPr>
        <w:spacing w:after="80" w:line="336" w:lineRule="auto"/>
        <w:ind w:firstLine="454"/>
      </w:pPr>
      <w:r>
        <w:rPr>
          <w:rFonts w:eastAsia="SimSun"/>
        </w:rPr>
        <w:t>代表集有一个额外成本项：每年 refresh week（每年首个 W-FRI）会有一次代表刷新带来的换手峰值。attribution 结果：</w:t>
      </w:r>
    </w:p>
    <w:tbl>
      <w:tblPr>
        <w:tblStyle w:val="LightGrid-Accent1"/>
        <w:tblW w:w="0" w:type="auto"/>
        <w:jc w:val="center"/>
        <w:tblLook w:val="04A0" w:firstRow="1" w:lastRow="0" w:firstColumn="1" w:lastColumn="0" w:noHBand="0" w:noVBand="1"/>
      </w:tblPr>
      <w:tblGrid>
        <w:gridCol w:w="1568"/>
        <w:gridCol w:w="1568"/>
        <w:gridCol w:w="1568"/>
        <w:gridCol w:w="1568"/>
        <w:gridCol w:w="1568"/>
        <w:gridCol w:w="1568"/>
      </w:tblGrid>
      <w:tr w:rsidR="008F5E7F" w14:paraId="28CBF449" w14:textId="77777777" w:rsidTr="008F5E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546CF32" w14:textId="77777777" w:rsidR="008F5E7F" w:rsidRDefault="00000000">
            <w:pPr>
              <w:jc w:val="center"/>
            </w:pPr>
            <w:r>
              <w:rPr>
                <w:rFonts w:eastAsia="SimSun"/>
                <w:sz w:val="20"/>
              </w:rPr>
              <w:t>书</w:t>
            </w:r>
          </w:p>
        </w:tc>
        <w:tc>
          <w:tcPr>
            <w:tcW w:w="1568" w:type="dxa"/>
          </w:tcPr>
          <w:p w14:paraId="6887A78C"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全窗单边换手均值</w:t>
            </w:r>
          </w:p>
        </w:tc>
        <w:tc>
          <w:tcPr>
            <w:tcW w:w="1568" w:type="dxa"/>
          </w:tcPr>
          <w:p w14:paraId="3733A5C3"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refresh 周均值</w:t>
            </w:r>
          </w:p>
        </w:tc>
        <w:tc>
          <w:tcPr>
            <w:tcW w:w="1568" w:type="dxa"/>
          </w:tcPr>
          <w:p w14:paraId="536B0600"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非-refresh 周均值</w:t>
            </w:r>
          </w:p>
        </w:tc>
        <w:tc>
          <w:tcPr>
            <w:tcW w:w="1568" w:type="dxa"/>
          </w:tcPr>
          <w:p w14:paraId="4BD217E0"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超额换手（refresh − 非-refresh）</w:t>
            </w:r>
          </w:p>
        </w:tc>
        <w:tc>
          <w:tcPr>
            <w:tcW w:w="1568" w:type="dxa"/>
          </w:tcPr>
          <w:p w14:paraId="55EAB91A" w14:textId="77777777" w:rsidR="008F5E7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刷新成本 bp/yr</w:t>
            </w:r>
          </w:p>
        </w:tc>
      </w:tr>
      <w:tr w:rsidR="008F5E7F" w14:paraId="788DBE77" w14:textId="77777777" w:rsidTr="008F5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33676631" w14:textId="77777777" w:rsidR="008F5E7F" w:rsidRDefault="00000000">
            <w:pPr>
              <w:jc w:val="center"/>
            </w:pPr>
            <w:r>
              <w:rPr>
                <w:rFonts w:eastAsia="SimSun"/>
                <w:sz w:val="20"/>
              </w:rPr>
              <w:t>全持 hold-all</w:t>
            </w:r>
          </w:p>
        </w:tc>
        <w:tc>
          <w:tcPr>
            <w:tcW w:w="1568" w:type="dxa"/>
          </w:tcPr>
          <w:p w14:paraId="20C83F31"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8.17%</w:t>
            </w:r>
          </w:p>
        </w:tc>
        <w:tc>
          <w:tcPr>
            <w:tcW w:w="1568" w:type="dxa"/>
          </w:tcPr>
          <w:p w14:paraId="3D2D0907"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6.26%</w:t>
            </w:r>
          </w:p>
        </w:tc>
        <w:tc>
          <w:tcPr>
            <w:tcW w:w="1568" w:type="dxa"/>
          </w:tcPr>
          <w:p w14:paraId="03C01D4D"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8.21%</w:t>
            </w:r>
          </w:p>
        </w:tc>
        <w:tc>
          <w:tcPr>
            <w:tcW w:w="1568" w:type="dxa"/>
          </w:tcPr>
          <w:p w14:paraId="7C30B895"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-1.95%</w:t>
            </w:r>
          </w:p>
        </w:tc>
        <w:tc>
          <w:tcPr>
            <w:tcW w:w="1568" w:type="dxa"/>
          </w:tcPr>
          <w:p w14:paraId="7426335F" w14:textId="77777777" w:rsidR="008F5E7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-0.4</w:t>
            </w:r>
          </w:p>
        </w:tc>
      </w:tr>
      <w:tr w:rsidR="008F5E7F" w14:paraId="6B49463A" w14:textId="77777777" w:rsidTr="008F5E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70D0DE47" w14:textId="77777777" w:rsidR="008F5E7F" w:rsidRDefault="00000000">
            <w:pPr>
              <w:jc w:val="center"/>
            </w:pPr>
            <w:r>
              <w:rPr>
                <w:rFonts w:eastAsia="SimSun"/>
                <w:sz w:val="20"/>
              </w:rPr>
              <w:t>代表集 replicated</w:t>
            </w:r>
          </w:p>
        </w:tc>
        <w:tc>
          <w:tcPr>
            <w:tcW w:w="1568" w:type="dxa"/>
          </w:tcPr>
          <w:p w14:paraId="17EC3E29"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6.83%</w:t>
            </w:r>
          </w:p>
        </w:tc>
        <w:tc>
          <w:tcPr>
            <w:tcW w:w="1568" w:type="dxa"/>
          </w:tcPr>
          <w:p w14:paraId="5D1961D1"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25.53%</w:t>
            </w:r>
          </w:p>
        </w:tc>
        <w:tc>
          <w:tcPr>
            <w:tcW w:w="1568" w:type="dxa"/>
          </w:tcPr>
          <w:p w14:paraId="31CA6E3C"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6.47%</w:t>
            </w:r>
          </w:p>
        </w:tc>
        <w:tc>
          <w:tcPr>
            <w:tcW w:w="1568" w:type="dxa"/>
          </w:tcPr>
          <w:p w14:paraId="3DF3CF6F"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+19.06%</w:t>
            </w:r>
          </w:p>
        </w:tc>
        <w:tc>
          <w:tcPr>
            <w:tcW w:w="1568" w:type="dxa"/>
          </w:tcPr>
          <w:p w14:paraId="4D69B4C8" w14:textId="77777777" w:rsidR="008F5E7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+3.8</w:t>
            </w:r>
          </w:p>
        </w:tc>
      </w:tr>
    </w:tbl>
    <w:p w14:paraId="75181CA6" w14:textId="77777777" w:rsidR="008F5E7F" w:rsidRDefault="00000000">
      <w:pPr>
        <w:spacing w:after="80" w:line="336" w:lineRule="auto"/>
        <w:ind w:firstLine="454"/>
      </w:pPr>
      <w:r>
        <w:rPr>
          <w:rFonts w:eastAsia="SimSun"/>
        </w:rPr>
        <w:t>读法：全持的日常换手（0.082/周）反而略高于代表集（0.068/周），因为代表集持仓总数少 —— 每周 σ 漂移触发的边际调仓也少。但代表集在 refresh 周多了一次代表刷新，导致 refresh 周均值飙到 25.5%，对应超额换手 ~19% × 1 refresh/年 × 10 bp/side × 2 sides = 约 +3.8 bp/yr 的额外成本——**相对 OOS ~+100 bp/yr 的 Sharpe 改善红利，这个刷新成本占比 ~4%，可以接受**。</w:t>
      </w:r>
    </w:p>
    <w:p w14:paraId="390FF6A1" w14:textId="77777777" w:rsidR="008F5E7F" w:rsidRDefault="00000000">
      <w:pPr>
        <w:jc w:val="center"/>
      </w:pPr>
      <w:r>
        <w:rPr>
          <w:noProof/>
        </w:rPr>
        <w:lastRenderedPageBreak/>
        <w:drawing>
          <wp:inline distT="0" distB="0" distL="0" distR="0" wp14:anchorId="02668A05" wp14:editId="32C98914">
            <wp:extent cx="5580000" cy="233368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p2_06_turnover.png"/>
                    <pic:cNvPicPr/>
                  </pic:nvPicPr>
                  <pic:blipFill>
                    <a:blip r:embed="rId32"/>
                    <a:stretch>
                      <a:fillRect/>
                    </a:stretch>
                  </pic:blipFill>
                  <pic:spPr>
                    <a:xfrm>
                      <a:off x="0" y="0"/>
                      <a:ext cx="5580000" cy="2333681"/>
                    </a:xfrm>
                    <a:prstGeom prst="rect">
                      <a:avLst/>
                    </a:prstGeom>
                  </pic:spPr>
                </pic:pic>
              </a:graphicData>
            </a:graphic>
          </wp:inline>
        </w:drawing>
      </w:r>
    </w:p>
    <w:p w14:paraId="34754EBD" w14:textId="77777777" w:rsidR="008F5E7F" w:rsidRDefault="00000000">
      <w:pPr>
        <w:jc w:val="center"/>
      </w:pPr>
      <w:r>
        <w:rPr>
          <w:rFonts w:eastAsia="SimSun"/>
          <w:color w:val="666666"/>
          <w:sz w:val="18"/>
        </w:rPr>
        <w:t>图 24  实验二：单边换手时序（灰色竖线为每年首个 W-FRI）——代表集在每年 refresh 有一次明显的换手尖峰，其他周普遍低于全持</w:t>
      </w:r>
    </w:p>
    <w:p w14:paraId="135A70BF" w14:textId="77777777" w:rsidR="008F5E7F" w:rsidRDefault="00000000">
      <w:pPr>
        <w:pStyle w:val="Heading2"/>
      </w:pPr>
      <w:r>
        <w:rPr>
          <w:rFonts w:ascii="SimHei" w:eastAsia="SimHei" w:hAnsi="SimHei"/>
        </w:rPr>
        <w:t>8.8 实验二小结</w:t>
      </w:r>
    </w:p>
    <w:p w14:paraId="0FA3F8D3" w14:textId="77777777" w:rsidR="008F5E7F" w:rsidRDefault="00000000">
      <w:pPr>
        <w:pStyle w:val="ListBullet"/>
        <w:spacing w:after="40" w:line="312" w:lineRule="auto"/>
      </w:pPr>
      <w:r>
        <w:rPr>
          <w:rFonts w:eastAsia="SimSun"/>
        </w:rPr>
        <w:t>**方法定位**：代表集是 v7 阶段推荐的「运营简化」升级方案——把 6 个非-α 块的名字数从平均 38.1 只压到 24.1 只（−37%），不需要新增任何预测信号或参数扫格。</w:t>
      </w:r>
    </w:p>
    <w:p w14:paraId="208D7B4A" w14:textId="77777777" w:rsidR="008F5E7F" w:rsidRDefault="00000000">
      <w:pPr>
        <w:pStyle w:val="ListBullet"/>
        <w:spacing w:after="40" w:line="312" w:lineRule="auto"/>
      </w:pPr>
      <w:r>
        <w:rPr>
          <w:rFonts w:eastAsia="SimSun"/>
        </w:rPr>
        <w:t>**收益结构**：IS 上小幅让渡（Sharpe −0.048，CAGR −0.33 pp），OOS 上 Sharpe 抬升 +0.46——但**这是波动压缩带来的抬升，不是收益抬升**：OOS CAGR 反而 −0.37 pp，OOS 年化波动 −0.23 pp（相对减幅 −18%）。</w:t>
      </w:r>
    </w:p>
    <w:p w14:paraId="6EBF880B" w14:textId="77777777" w:rsidR="008F5E7F" w:rsidRDefault="00000000">
      <w:pPr>
        <w:pStyle w:val="ListBullet"/>
        <w:spacing w:after="40" w:line="312" w:lineRule="auto"/>
      </w:pPr>
      <w:r>
        <w:rPr>
          <w:rFonts w:eastAsia="SimSun"/>
        </w:rPr>
        <w:t>**波动压缩来源假说**：主导因素很可能是「新入池 ETF 通常 AUM 小、噪声大」被年度刷新 + top-ADV 代表选择自然过滤掉；次要因素是聚类内几何平均抹掉 idio 波动的效果。这与 cross_border_hk / cross_border_dm 两块近年密集扩容后 OOS 波动集中收窄的观察一致。</w:t>
      </w:r>
    </w:p>
    <w:p w14:paraId="44D2F6BF" w14:textId="77777777" w:rsidR="008F5E7F" w:rsidRDefault="00000000">
      <w:pPr>
        <w:pStyle w:val="ListBullet"/>
        <w:spacing w:after="40" w:line="312" w:lineRule="auto"/>
      </w:pPr>
      <w:r>
        <w:rPr>
          <w:rFonts w:eastAsia="SimSun"/>
        </w:rPr>
        <w:t>**成本**：refresh 周多出 +3.8 bp/yr 的换手成本，相对 OOS Sharpe ~+100 bp/yr 的改善量级，占比 ~4%——完全可接受。如果实盘想进一步降低这一成本，可以在 refresh 周分批建仓，但不是必须的。</w:t>
      </w:r>
    </w:p>
    <w:p w14:paraId="6C50D4AD" w14:textId="77777777" w:rsidR="008F5E7F" w:rsidRDefault="00000000">
      <w:pPr>
        <w:pStyle w:val="ListBullet"/>
        <w:spacing w:after="40" w:line="312" w:lineRule="auto"/>
      </w:pPr>
      <w:r>
        <w:rPr>
          <w:rFonts w:eastAsia="SimSun"/>
        </w:rPr>
        <w:t>**遗留问题**：本实验没有回答的问题是「如果不是新入池 ETF 而是老 ETF 的AUM 长期萎缩，会不会破坏这套框架」——代表集的 top-ADV 选择规则依赖存量老名字的 ADV 长期稳定；如果 ADV 结构性下降，代表选择本身可能出现路径依赖。这一项需要在 v7 阶段用更长的 OOS 窗口验证。</w:t>
      </w:r>
    </w:p>
    <w:p w14:paraId="73FBE223" w14:textId="77777777" w:rsidR="008F5E7F" w:rsidRDefault="00000000">
      <w:pPr>
        <w:pStyle w:val="Heading1"/>
      </w:pPr>
      <w:r>
        <w:rPr>
          <w:rFonts w:ascii="SimHei" w:eastAsia="SimHei" w:hAnsi="SimHei"/>
        </w:rPr>
        <w:t>九、结语与局限</w:t>
      </w:r>
    </w:p>
    <w:p w14:paraId="211F4B22" w14:textId="77777777" w:rsidR="008F5E7F" w:rsidRDefault="00000000">
      <w:pPr>
        <w:spacing w:after="80" w:line="336" w:lineRule="auto"/>
        <w:ind w:firstLine="454"/>
      </w:pPr>
      <w:r>
        <w:rPr>
          <w:rFonts w:eastAsia="SimSun"/>
        </w:rPr>
        <w:t>本报告展示了 v6 项目在 Final Report 之后的一次结构性升级：把“单层的 Top-q 纯多头”改造为“组间风险预算 + 块内 α 选股”的双层结构，落地 (q=0.20, ε=0.30) 方案在 OOS 上给出净夏普 +3.62、CAGR +4.48%、最大回撤 -0.36%，全窗 Calmar 抬升到 1.61，较此前 solo defensive 是一次跨门槛的改进。</w:t>
      </w:r>
    </w:p>
    <w:p w14:paraId="489218EA" w14:textId="77777777" w:rsidR="008F5E7F" w:rsidRDefault="00000000">
      <w:pPr>
        <w:spacing w:after="80" w:line="336" w:lineRule="auto"/>
        <w:ind w:firstLine="454"/>
      </w:pPr>
      <w:r>
        <w:rPr>
          <w:rFonts w:eastAsia="SimSun"/>
        </w:rPr>
        <w:lastRenderedPageBreak/>
        <w:t>已知的局限：(1) α 层目前只覆盖 broad_cn 与 sector_cn 两块，cross_border_hk 待其 2024+非危机数据积累后再考虑纳入；(2) 本轮扫格使用了统一 (q, ε)，Phase 13.5 的原始 finalist 其实是 ε_broad_cn = 0.20 与 ε_sector_cn = 1.00，未来可以补做块级 (q, ε) 扫格；(3) 非 α 块的 sizing 固定为 inv-vol，是否 eqw 会有额外收益仍待验证；(4) OOS 窗口只有 82 周，样本外仍需继续积累。</w:t>
      </w:r>
    </w:p>
    <w:p w14:paraId="27D2A060" w14:textId="77777777" w:rsidR="008F5E7F" w:rsidRDefault="00000000">
      <w:pPr>
        <w:spacing w:after="80" w:line="336" w:lineRule="auto"/>
        <w:ind w:firstLine="454"/>
      </w:pPr>
      <w:r>
        <w:rPr>
          <w:rFonts w:eastAsia="SimSun"/>
        </w:rPr>
        <w:t>但截至 2026-07-22 的 OOS shot 已经足以支持一次落地方案切换：本报告推荐 “Layer-1（invvol × LW-ERC，no-trend） + Layer-2 α（broad_cn K=5 + sector_cn K=8，long_q20-replace，(q=0.20, ε=0.30)）” 作为 v6 阶段的新生产 finalist，旧版 solo defensive 从此可以功成身退。</w:t>
      </w:r>
    </w:p>
    <w:p w14:paraId="565F54C5" w14:textId="77777777" w:rsidR="008F5E7F" w:rsidRDefault="00000000">
      <w:pPr>
        <w:spacing w:after="80" w:line="336" w:lineRule="auto"/>
        <w:ind w:firstLine="454"/>
      </w:pPr>
      <w:r>
        <w:rPr>
          <w:rFonts w:eastAsia="SimSun"/>
        </w:rPr>
        <w:t>在此基础上，第八节讨论的实验二（非-α 块代表集压缩）可作为 v7 阶段的候选「运营简化」升级：把 6 个非-α 块的名字数从 38.1 只压到 24.1 只（−37%），IS 上小幅让渡（Sharpe −0.05、CAGR −0.33 pp），OOS 上 Sharpe 抬升 +0.46——**但需要注意：这轮 OOS 改善是波动压缩（−18%）而不是收益提升（CAGR 反而 −0.37 pp）**，很可能来自年度 refresh + top-ADV 代表规则对新入池小 AUM ETF 噪声的自然过滤。这也意味着如果未来 v6 池子扩容速率放缓，这一红利可能收敛，在 v7 阶段推行前建议再看一段更长的 OOS。第七节实验一给的建议同样保守：先不动 policy shares，把「权益略偏高」当经济学 prior gut-check 记下即可，任何重构都需要更小步长 + 更长 OOS 的二次验证。</w:t>
      </w:r>
    </w:p>
    <w:sectPr w:rsidR="008F5E7F"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0594387">
    <w:abstractNumId w:val="8"/>
  </w:num>
  <w:num w:numId="2" w16cid:durableId="1441145195">
    <w:abstractNumId w:val="6"/>
  </w:num>
  <w:num w:numId="3" w16cid:durableId="2115200008">
    <w:abstractNumId w:val="5"/>
  </w:num>
  <w:num w:numId="4" w16cid:durableId="496455837">
    <w:abstractNumId w:val="4"/>
  </w:num>
  <w:num w:numId="5" w16cid:durableId="603810011">
    <w:abstractNumId w:val="7"/>
  </w:num>
  <w:num w:numId="6" w16cid:durableId="622544819">
    <w:abstractNumId w:val="3"/>
  </w:num>
  <w:num w:numId="7" w16cid:durableId="621689115">
    <w:abstractNumId w:val="2"/>
  </w:num>
  <w:num w:numId="8" w16cid:durableId="914319941">
    <w:abstractNumId w:val="1"/>
  </w:num>
  <w:num w:numId="9" w16cid:durableId="14245662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1D8E"/>
    <w:rsid w:val="008703B3"/>
    <w:rsid w:val="008F5E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E31917"/>
  <w14:defaultImageDpi w14:val="300"/>
  <w15:docId w15:val="{23441567-2A46-BB43-8B3E-2B8A3BE89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imSun" w:hAnsi="SimSu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30</Pages>
  <Words>3720</Words>
  <Characters>21208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Allen Zhou</cp:lastModifiedBy>
  <cp:revision>2</cp:revision>
  <dcterms:created xsi:type="dcterms:W3CDTF">2013-12-23T23:15:00Z</dcterms:created>
  <dcterms:modified xsi:type="dcterms:W3CDTF">2026-07-28T23:25:00Z</dcterms:modified>
  <cp:category/>
</cp:coreProperties>
</file>