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8"/>
        </w:rPr>
        <w:t>v6 双层结构压力测试报告（hold-out shot）</w:t>
      </w:r>
    </w:p>
    <w:p>
      <w:pPr>
        <w:jc w:val="center"/>
      </w:pPr>
      <w:r>
        <w:rPr>
          <w:rFonts w:ascii="宋体" w:hAnsi="宋体" w:eastAsia="宋体"/>
          <w:color w:val="555555"/>
          <w:sz w:val="24"/>
        </w:rPr>
        <w:t>——在 pre-registration 纪律下打开 hold-out 数据的一次性压力测试</w:t>
      </w:r>
    </w:p>
    <w:p>
      <w:pPr>
        <w:jc w:val="center"/>
      </w:pPr>
      <w:r>
        <w:rPr>
          <w:rFonts w:ascii="宋体" w:hAnsi="宋体" w:eastAsia="宋体"/>
          <w:color w:val="888888"/>
          <w:sz w:val="20"/>
        </w:rPr>
        <w:t>报告日期：2026-07-23    ·    压力窗口 2025-08-01 → 2026-07-17（51 周）    ·    综合判定：通过（PASS）</w:t>
      </w:r>
    </w:p>
    <w:p/>
    <w:p>
      <w:pPr>
        <w:pStyle w:val="Heading1"/>
      </w:pPr>
      <w:r>
        <w:rPr>
          <w:rFonts w:ascii="黑体" w:hAnsi="黑体" w:eastAsia="黑体"/>
        </w:rPr>
        <w:t>摘要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v6 双层结构 finalist（q=0.20 ε=0.30）在压力窗口 [2025-08-01, 2026-07-17] 共 51 周的一次性 hold-out 测试中，通过了事前冻结的全部 5 项阈值：净夏普 +2.159 / CAGR +2.11% / 最大回撤 -0.30% / Calmar +7.09 / Sharpe decay ratio +1.37。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但两处诚实标注必须写进结论：(1) 25H2–26H1 这段窗口对债券占比高的组合恰好偏温和，T2 债券 inv-vol 单独在压力窗口的净夏普也高于 IS anchor，并非典型 stress 环境（未触及 2020 疫情 / 2022 信用债回调级别的宏观事件）；(2) α 层（broad_cn / sector_cn 权益选股）在压力窗口的边际贡献为负，finalist Sharpe +2.16 低于双层 α off 的 +2.41，Δ ≈ −0.26 Sharpe。'stress 通过'的正确解读是'设计在温和逆风下未暴露缺陷'，不是'已被验证抗任何压力'。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根据 pre-registration §6 硬承诺，本次测试后 v6 knob 永久冻结，本压力窗口 [2025-08-01, 2026-07-17] 对未来 v7 项目不再算 OOS。v7 的真正 OOS 只能是从今天（2026-07-23）之后的新窗口。</w:t>
      </w:r>
    </w:p>
    <w:p>
      <w:pPr>
        <w:pStyle w:val="Heading1"/>
      </w:pPr>
      <w:r>
        <w:rPr>
          <w:rFonts w:ascii="黑体" w:hAnsi="黑体" w:eastAsia="黑体"/>
        </w:rPr>
        <w:t>一、Pre-registration 摘要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在打开 hold-out 数据之前，先写了 pre-registration memo （原件：v6/two_layer_report_cn/STRESS_TEST_PREREG.md）以钉死规则、防止事后合理化。核心条款如下。</w:t>
      </w:r>
    </w:p>
    <w:p>
      <w:pPr>
        <w:pStyle w:val="Heading2"/>
      </w:pPr>
      <w:r>
        <w:rPr>
          <w:rFonts w:ascii="黑体" w:hAnsi="黑体" w:eastAsia="黑体"/>
        </w:rPr>
        <w:t>1.1 只评估 finalist + 3 anchor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落地 finalist：two_layer_q20_e30（q=0.20，ε=0.30）——本次压力测试的唯一评估主体。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anchor（不是 v6 参数、只是参考）：two_layer_baseline（α off）、layer1_invvol_lw_erc、T2_bond_invvol。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❌ 不跑 q=0.10 变体，不跑其他 (q, ε) 格点，不改任何 sizing / 协方差窗口 / 政策份额——防止扫格式偷看。</w:t>
      </w:r>
    </w:p>
    <w:p>
      <w:pPr>
        <w:pStyle w:val="Heading2"/>
      </w:pPr>
      <w:r>
        <w:rPr>
          <w:rFonts w:ascii="黑体" w:hAnsi="黑体" w:eastAsia="黑体"/>
        </w:rPr>
        <w:t>1.2 事前阈值（在打开数据前冻结）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通过阈值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边缘阈值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失败阈值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净夏普（stress）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≥ +0.50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0 ~ +0.50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&lt; 0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CAGR（stress，年化）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≥ 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−2% ~ 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&lt; −2%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最大回撤（stress）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≥ −4%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−6% ~ −4%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&lt; −6%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Calmar（stress）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≥ +0.30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0 ~ +0.30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&lt; 0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Sharpe decay ratio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≥ 0.30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0.10 ~ 0.30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&lt; 0.10</w:t>
            </w:r>
          </w:p>
        </w:tc>
      </w:tr>
    </w:tbl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判定规则：≥ 4 维通过且无失败 → 通过；≥ 1 维边缘且无失败 → 边缘；任何 1 维失败 → 失败。</w:t>
      </w:r>
    </w:p>
    <w:p>
      <w:pPr>
        <w:pStyle w:val="Heading2"/>
      </w:pPr>
      <w:r>
        <w:rPr>
          <w:rFonts w:ascii="黑体" w:hAnsi="黑体" w:eastAsia="黑体"/>
        </w:rPr>
        <w:t>1.3 明确不看的东西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为了防止事后归因变成隐蔽调参，以下内容明令禁止：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分块（block-level）逐块的 gross / net 贡献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逐 ETF 名字的 pnl 归因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分月 / 分周细粒度的回撤路径（只看窗口整体 MaxDD）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α 层在 stress 窗口里选中的具体名字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Layer-1 solver 在 stress 窗口里给出的**逐周**组权重时序（允许看窗口**平均**组权重）</w:t>
      </w:r>
    </w:p>
    <w:p>
      <w:pPr>
        <w:pStyle w:val="Heading2"/>
      </w:pPr>
      <w:r>
        <w:rPr>
          <w:rFonts w:ascii="黑体" w:hAnsi="黑体" w:eastAsia="黑体"/>
        </w:rPr>
        <w:t>1.4 硬承诺（hard commitments）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无论测试结果如何，看完 stress 窗口后以下操作永久禁止：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不再调整 (q, ε) 或任何 v6 knob。落地方案就是 q=0.20 ε=0.30。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不再基于 stress 结果做 v6 内的"临时补丁"（比如"stress 表现差 → 加个 trend gate"）。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不打开 stress 窗口内更细粒度的诊断。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允许的下一步：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写这份独立的收官报告（即本文档），把 stress 结果诚实纳入。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开始设计 v7（结构性改动）——具体动机应有独立于 stress 观测的 IS 依据。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在 v7 项目里，将 2019-05-31 → 今天（含之前的 IS + OOS + stress）作为训练可用窗口，真正的 v7 OOS 只能是从今天之后的新窗口。</w:t>
      </w:r>
    </w:p>
    <w:p>
      <w:pPr>
        <w:pStyle w:val="Heading1"/>
      </w:pPr>
      <w:r>
        <w:rPr>
          <w:rFonts w:ascii="黑体" w:hAnsi="黑体" w:eastAsia="黑体"/>
        </w:rPr>
        <w:t>二、结果</w:t>
      </w:r>
    </w:p>
    <w:p>
      <w:pPr>
        <w:pStyle w:val="Heading2"/>
      </w:pPr>
      <w:r>
        <w:rPr>
          <w:rFonts w:ascii="黑体" w:hAnsi="黑体" w:eastAsia="黑体"/>
        </w:rPr>
        <w:t>2.1 finalist（two_layer_q20_e30）逐项判定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阈值判定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净夏普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+2.159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CAGR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+2.11%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最大回撤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-0.30%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Calmar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+7.09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Sharpe decay ratio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+1.37  (stress +2.16 / IS 参照 +1.58)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ind w:firstLine="454"/>
      </w:pPr>
      <w:r>
        <w:rPr>
          <w:rFonts w:ascii="宋体" w:hAnsi="宋体" w:eastAsia="宋体"/>
          <w:b/>
          <w:color w:val="27AE60"/>
          <w:sz w:val="24"/>
        </w:rPr>
        <w:t>综合判定：通过（PASS）。全部 5 项事前阈值均通过。</w:t>
      </w:r>
    </w:p>
    <w:p>
      <w:pPr>
        <w:pStyle w:val="Heading2"/>
      </w:pPr>
      <w:r>
        <w:rPr>
          <w:rFonts w:ascii="黑体" w:hAnsi="黑体" w:eastAsia="黑体"/>
        </w:rPr>
        <w:t>2.2 三窗对比：IS anchor / OOS / Stress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把 finalist + 三个 anchor 在三个窗口的表现平铺展开，可以直接读出 stress 窗口相对 IS 与 OOS 的位置。注：IS anchor 列只显示 Sharpe（引自主报告 §4 OOS shot），其他 IS 指标不复现以避免与主报告重复。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书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窗口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净夏普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CAGR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最大回撤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Calmar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有效周数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q=0.20 ε=0.30 (finalist)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IS anchor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+1.577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q=0.20 ε=0.30 (finalist)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OOS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+3.621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+4.48%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-0.36%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+12.55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82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q=0.20 ε=0.30 (finalist)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Stress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+2.159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+2.11%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-0.30%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+7.09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51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Layer-1 canonical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IS anchor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Layer-1 canonical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OOS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+3.499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+4.52%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-0.38%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+11.75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82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Layer-1 canonical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Stress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+2.411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+2.25%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-0.29%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+7.67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51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T2 债券 inv-vol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IS anchor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+1.462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T2 债券 inv-vol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OOS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+3.770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+3.31%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-0.56%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+5.87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82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T2 债券 inv-vol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Stress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+2.958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+1.51%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-0.26%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+5.76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51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α off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IS anchor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α off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OOS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+3.539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+4.57%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-0.38%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+12.13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82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α off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Stress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+2.412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+2.30%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-0.29%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+8.01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51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2.3 压力窗口 NAV 与回撤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以压力窗口起点为净值起点（NAV = 1）重画累计净值和回撤。四条曲线都是 10 bp / 单边成本口径下的净值。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7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01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1  压力窗口内累计净值（起点 = 1，含成本）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77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02_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2  压力窗口内回撤路径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读图要点：Layer-1 canonical 与双层 α off 的 NAV 曲线几乎重合（一致性校验的直接体现），都收在 +2.5% 附近；finalist 收在 +2.1%，略低于两个 α off 参照，说明 α 层在 stress 窗口净贡献为负（Δ Sharpe ≈ -0.25）。T2 债券最平稳但累计收益最低。回撤面板上四条曲线的最大回撤都在 −0.30% 附近，无一超过 −0.4%——这就是事前阈值 −4% 被大幅通过的原因。</w:t>
      </w:r>
    </w:p>
    <w:p>
      <w:pPr>
        <w:pStyle w:val="Heading2"/>
      </w:pPr>
      <w:r>
        <w:rPr>
          <w:rFonts w:ascii="黑体" w:hAnsi="黑体" w:eastAsia="黑体"/>
        </w:rPr>
        <w:t>2.4 Sharpe 保留率（stress / IS 参照）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decay ratio 是本次压力测试最直观的诊断——如果它 &lt; 0.10 说明 IS 里的信号在 stress 完全失效，如果 ≥ 0.30 说明 IS 优势在 stress 里显著保留。四本书都远远高于事前阈值，且 finalist 的 decay 1.37 意味着 stress Sharpe 反而高于 IS 参照。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79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04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3  各书 Sharpe decay 对比（stress Sharpe / IS anchor Sharpe）</w:t>
      </w:r>
    </w:p>
    <w:p>
      <w:pPr>
        <w:pStyle w:val="Heading2"/>
      </w:pPr>
      <w:r>
        <w:rPr>
          <w:rFonts w:ascii="黑体" w:hAnsi="黑体" w:eastAsia="黑体"/>
        </w:rPr>
        <w:t>2.5 压力窗口组间资本权重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把 stress 窗口的平均组权重与 OOS 均值、政策目标并列展示。Solver 在压力窗口里主动把信用债从 30% 抬到 49%，利率债则从 61% 降到 43%；权益仍维持在 5% 左右，商品 2.6%。这是 LW-ERC 在 stress 窗口里读到"信用债 risk-adjusted 更便宜"信号后的自然反应，并非人为参数调整——solver 内部逻辑与 IS/OOS 完全相同。Realized RC% 仍然严格命中 55/20/10/15（未画在图里以避免与主报告重复）。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11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03_w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4  压力窗口平均组权重 vs OOS vs 政策目标</w:t>
      </w:r>
    </w:p>
    <w:p>
      <w:pPr>
        <w:pStyle w:val="Heading1"/>
      </w:pPr>
      <w:r>
        <w:rPr>
          <w:rFonts w:ascii="黑体" w:hAnsi="黑体" w:eastAsia="黑体"/>
        </w:rPr>
        <w:t>三、诚实解读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PASS 判定看起来很干净，但两个 caveats 必须写清楚。</w:t>
      </w:r>
    </w:p>
    <w:p>
      <w:pPr>
        <w:pStyle w:val="Heading2"/>
      </w:pPr>
      <w:r>
        <w:rPr>
          <w:rFonts w:ascii="黑体" w:hAnsi="黑体" w:eastAsia="黑体"/>
        </w:rPr>
        <w:t>3.1 25H2–26H1 不是典型 stress 环境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本次压力测试之所以能拿到 Sharpe +2.16、Calmar +7.09 这样漂亮的数字，很大程度上是因为这段窗口对债券占比高的组合恰好偏温和——T2 债券 inv-vol 单独在压力窗口的净夏普 +2.958，本身就高于 IS anchor +1.462。这个窗口里权益虽然有回调，但没有出现 2020 疫情或 2022 信用债回调级别的极端事件，利率环境相对配合。真实的 tail-risk 环境（比如国债利率突升 + 信用债利差扩张同时发生）未在本次压力测试中被检验到。</w:t>
      </w:r>
    </w:p>
    <w:p>
      <w:pPr>
        <w:pStyle w:val="Heading2"/>
      </w:pPr>
      <w:r>
        <w:rPr>
          <w:rFonts w:ascii="黑体" w:hAnsi="黑体" w:eastAsia="黑体"/>
        </w:rPr>
        <w:t>3.2 α 层的边际贡献在 stress 里为负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把 finalist 与双层 α off baseline 并列，可以直接读出 α 层的净贡献：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IS Sharpe (anchor)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OOS Sharpe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Stress Sharpe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α off (baseline)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+3.539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+2.412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双层 α on (finalist)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+1.577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+3.621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+2.159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Δ (α layer)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+0.066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+0.082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20"/>
              </w:rPr>
              <w:t>-0.253</w:t>
            </w:r>
          </w:p>
        </w:tc>
      </w:tr>
    </w:tbl>
    <w:p>
      <w:pPr>
        <w:spacing w:line="336" w:lineRule="auto" w:after="80"/>
      </w:pPr>
      <w:r>
        <w:rPr>
          <w:rFonts w:ascii="宋体" w:hAnsi="宋体" w:eastAsia="宋体"/>
          <w:sz w:val="22"/>
        </w:rPr>
        <w:t>IS 和 OOS 上 α 层都是小幅正贡献（+0.07 / +0.08 Sharpe），到 stress 窗口翻负到 −0.26。这不是 pre-reg 的"失败档"（阈值只看 finalist 的绝对 metric，不看 Δ），但作为独立的观察值得记录：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broad_cn / sector_cn 的权益 α 在 25H2–26H1 没有 edge，这段时间 A 股权益是选股 alpha 相对稀薄的一段时期。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这一定程度上支持了主报告里就已指出的"Layer-1 组间风险预算才是主要的结构性收益源，α 层的边际改善较小"的结论。α 层不是 v6 的核心 alpha 源。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但 stress 窗口 α layer Δ 为负这个观察，**不会**触发对 (q, ε) 的重调——pre-reg §6 硬承诺已经把这条路封死。这类观察只能作为 v7 的设计线索：比如 v7 里如果要保留 α 层，可能需要考虑"信号强度门槛"或"regime 感知"的机制。</w:t>
      </w:r>
    </w:p>
    <w:p>
      <w:pPr>
        <w:pStyle w:val="Heading2"/>
      </w:pPr>
      <w:r>
        <w:rPr>
          <w:rFonts w:ascii="黑体" w:hAnsi="黑体" w:eastAsia="黑体"/>
        </w:rPr>
        <w:t>3.3 压力测试的限度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本次压力测试的三点主要限度：(1) 窗口只有 51 周，样本量不足以支持子窗口切分或统计推断；(2) 窗口内未包含 2020/2022 级别的宏观事件，属于"温和逆风"；(3) 只跑了 finalist + 3 anchor，没有做扫格式的鲁棒性检查（这是刻意为之，因为扫格本身就是 bias 的源头）。正确的读法是：**"设计在温和逆风下未暴露缺陷"**，而不是**"设计已被验证能抵御任何压力"**。真正的抗压能力仍需等待 v7 项目里的新数据积累。</w:t>
      </w:r>
    </w:p>
    <w:p>
      <w:pPr>
        <w:pStyle w:val="Heading1"/>
      </w:pPr>
      <w:r>
        <w:rPr>
          <w:rFonts w:ascii="黑体" w:hAnsi="黑体" w:eastAsia="黑体"/>
        </w:rPr>
        <w:t>四、v6 收官与 v7 数据边界</w:t>
      </w:r>
    </w:p>
    <w:p>
      <w:pPr>
        <w:spacing w:line="336" w:lineRule="auto" w:after="80"/>
        <w:ind w:firstLine="454"/>
      </w:pPr>
      <w:r>
        <w:rPr>
          <w:rFonts w:ascii="宋体" w:hAnsi="宋体" w:eastAsia="宋体"/>
          <w:sz w:val="22"/>
        </w:rPr>
        <w:t>根据 pre-registration §6 硬承诺，本次压力测试完成后：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**v6 落地方案冻结**：two-layer q=0.20 ε=0.30（broad_cn K=5 + sector_cn K=8，long_q20-replace，Layer-1 = invvol × LW-ERC，无 trend gate）。任何后续 v6 调整均被禁止。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**stress 窗口 [2025-08-01, 2026-07-17] 对 v7 不再算 OOS**。对 v7 项目而言，这段数据算作训练可用窗口的一部分，与 2019-05-31 → 2025-07-31 之前的 IS + OOS 一起构成完整的"训练可用集"。v7 真正的 OOS 只能是从今天（2026-07-23）之后的新窗口。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**v7 的设计动机应独立于 stress 观测**。已经明确的两个方向（更多板块做 α、非-α 块降密度）来自可执行性 + 因子覆盖度，有独立的 IS 依据，不由 stress 结果驱动。</w:t>
      </w:r>
    </w:p>
    <w:p>
      <w:pPr>
        <w:pStyle w:val="Heading1"/>
      </w:pPr>
      <w:r>
        <w:rPr>
          <w:rFonts w:ascii="黑体" w:hAnsi="黑体" w:eastAsia="黑体"/>
        </w:rPr>
        <w:t>附录：文件索引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Pre-registration 原件：two_layer_report_cn/STRESS_TEST_PREREG.md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执行脚本：two_layer_report_cn/run_stress_test.py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结果落盘：two_layer_report_cn/stress/_stress_summary.json、verdict.txt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图表：two_layer_report_cn/figures/fig_stress0{1..4}_*.png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2"/>
        </w:rPr>
        <w:t>主报告：two_layer_report_cn/two_layer_strategy_report_cn.docx（不含 stress，仅覆盖 IS + OOS）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