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0"/>
        <w:jc w:val="center"/>
      </w:pPr>
      <w:r>
        <w:rPr>
          <w:rFonts w:ascii="Arial" w:cs="Arial" w:eastAsia="Arial" w:hAnsi="Arial"/>
          <w:color w:val="6E6E6E"/>
          <w:sz w:val="19"/>
          <w:szCs w:val="19"/>
          <w:rtl w:val="false"/>
        </w:rPr>
        <w:t xml:space="preserve">[Your Country]</w:t>
      </w:r>
    </w:p>
    <w:p>
      <w:pPr>
        <w:spacing w:after="6"/>
        <w:jc w:val="center"/>
      </w:pPr>
      <w:r>
        <w:rPr>
          <w:rFonts w:ascii="Arial" w:cs="Arial" w:eastAsia="Arial" w:hAnsi="Arial"/>
          <w:b/>
          <w:bCs/>
          <w:color w:val="1F1F1F"/>
          <w:sz w:val="30"/>
          <w:szCs w:val="30"/>
          <w:rtl w:val="false"/>
        </w:rPr>
        <w:t xml:space="preserve">[Your Organization]</w:t>
      </w:r>
    </w:p>
    <w:p>
      <w:pPr>
        <w:pBdr>
          <w:bottom w:val="single" w:color="1F1F1F" w:sz="18" w:space="8"/>
        </w:pBdr>
        <w:spacing w:after="240"/>
        <w:jc w:val="center"/>
      </w:pPr>
      <w:r>
        <w:t xml:space="preserve"/>
      </w:r>
    </w:p>
    <w:p>
      <w:pPr>
        <w:spacing w:after="8"/>
        <w:jc w:val="center"/>
      </w:pPr>
      <w:r>
        <w:rPr>
          <w:rFonts w:ascii="Arial" w:cs="Arial" w:eastAsia="Arial" w:hAnsi="Arial"/>
          <w:b/>
          <w:bCs/>
          <w:color w:val="1F1F1F"/>
          <w:sz w:val="40"/>
          <w:szCs w:val="40"/>
          <w:rtl w:val="false"/>
        </w:rPr>
        <w:t xml:space="preserve">PMO Operating Model &amp; Type</w:t>
      </w:r>
    </w:p>
    <w:p>
      <w:pPr>
        <w:spacing w:after="4" w:before="520"/>
        <w:jc w:val="center"/>
      </w:pPr>
      <w:r>
        <w:rPr>
          <w:rFonts w:ascii="Arial" w:cs="Arial" w:eastAsia="Arial" w:hAnsi="Arial"/>
          <w:color w:val="6E6E6E"/>
          <w:sz w:val="20"/>
          <w:szCs w:val="20"/>
          <w:rtl w:val="false"/>
        </w:rPr>
        <w:t xml:space="preserve">Version 1.0</w:t>
      </w:r>
    </w:p>
    <w:p>
      <w:pPr>
        <w:jc w:val="center"/>
      </w:pPr>
      <w:r>
        <w:rPr>
          <w:rFonts w:ascii="Arial" w:cs="Arial" w:eastAsia="Arial" w:hAnsi="Arial"/>
          <w:color w:val="6E6E6E"/>
          <w:sz w:val="20"/>
          <w:szCs w:val="20"/>
        </w:rPr>
        <w:t xml:space="preserve">2026</w:t>
      </w:r>
    </w:p>
    <w:p>
      <w:r>
        <w:br w:type="page"/>
      </w:r>
    </w:p>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1. Introduction</w:t>
      </w:r>
    </w:p>
    <w:p>
      <w:pPr>
        <w:spacing w:after="170" w:line="288"/>
        <w:jc w:val="both"/>
      </w:pPr>
      <w:r>
        <w:rPr>
          <w:rFonts w:ascii="Arial" w:cs="Arial" w:eastAsia="Arial" w:hAnsi="Arial"/>
          <w:b w:val="false"/>
          <w:bCs w:val="false"/>
          <w:i w:val="false"/>
          <w:iCs w:val="false"/>
          <w:color w:val="2E2A28"/>
          <w:sz w:val="21"/>
          <w:szCs w:val="21"/>
        </w:rPr>
        <w:t xml:space="preserve">This document defines the operating model of the Project Management Office (PMO) of the [Your Organization] and the type best suited to its goals. It sets out the recognised PMO types, the criteria for selecting the right type, the recommended model for [Your Organization], its operating dimensions, and its growth path.</w:t>
      </w:r>
    </w:p>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2. PMO Types</w:t>
      </w:r>
    </w:p>
    <w:p>
      <w:pPr>
        <w:spacing w:after="140" w:line="288"/>
        <w:jc w:val="both"/>
      </w:pPr>
      <w:r>
        <w:rPr>
          <w:rFonts w:ascii="Arial" w:cs="Arial" w:eastAsia="Arial" w:hAnsi="Arial"/>
          <w:b w:val="false"/>
          <w:bCs w:val="false"/>
          <w:i w:val="false"/>
          <w:iCs w:val="false"/>
          <w:color w:val="2E2A28"/>
          <w:sz w:val="21"/>
          <w:szCs w:val="21"/>
        </w:rPr>
        <w:t xml:space="preserve">PMOs range from a supporting role to a strategic role, according to the degree of authority and control they exercise over initiatives and projects.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Type</w:t>
            </w:r>
          </w:p>
        </w:tc>
        <w:tc>
          <w:tcPr>
            <w:tcW w:type="dxa" w:w="68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Role &amp; authority</w:t>
            </w:r>
          </w:p>
        </w:tc>
      </w:tr>
      <w:tr>
        <w:tc>
          <w:tcPr>
            <w:tcW w:type="dxa" w:w="2200"/>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Supportive</w:t>
            </w:r>
          </w:p>
        </w:tc>
        <w:tc>
          <w:tcPr>
            <w:tcW w:type="dxa" w:w="68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Provides templates, guidance, and training; low control</w:t>
            </w:r>
          </w:p>
        </w:tc>
      </w:tr>
      <w:tr>
        <w:tc>
          <w:tcPr>
            <w:tcW w:type="dxa" w:w="2200"/>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Controlling</w:t>
            </w:r>
          </w:p>
        </w:tc>
        <w:tc>
          <w:tcPr>
            <w:tcW w:type="dxa" w:w="68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Requires compliance with standards and methods; moderate control</w:t>
            </w:r>
          </w:p>
        </w:tc>
      </w:tr>
      <w:tr>
        <w:tc>
          <w:tcPr>
            <w:tcW w:type="dxa" w:w="2200"/>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Directive</w:t>
            </w:r>
          </w:p>
        </w:tc>
        <w:tc>
          <w:tcPr>
            <w:tcW w:type="dxa" w:w="68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Directly manages and leads projects; high control</w:t>
            </w:r>
          </w:p>
        </w:tc>
      </w:tr>
      <w:tr>
        <w:tc>
          <w:tcPr>
            <w:tcW w:type="dxa" w:w="2200"/>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Strategic</w:t>
            </w:r>
          </w:p>
        </w:tc>
        <w:tc>
          <w:tcPr>
            <w:tcW w:type="dxa" w:w="68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Aligns the portfolio to strategy and advises executives; enterprise scope</w:t>
            </w:r>
          </w:p>
        </w:tc>
      </w:tr>
    </w:tbl>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3. PMO Type Selection Criteria</w:t>
      </w:r>
    </w:p>
    <w:p>
      <w:pPr>
        <w:spacing w:after="140" w:line="288"/>
        <w:jc w:val="both"/>
      </w:pPr>
      <w:r>
        <w:rPr>
          <w:rFonts w:ascii="Arial" w:cs="Arial" w:eastAsia="Arial" w:hAnsi="Arial"/>
          <w:b w:val="false"/>
          <w:bCs w:val="false"/>
          <w:i w:val="false"/>
          <w:iCs w:val="false"/>
          <w:color w:val="2E2A28"/>
          <w:sz w:val="21"/>
          <w:szCs w:val="21"/>
        </w:rPr>
        <w:t xml:space="preserve">The PMO type is selected by assessing a set of criteria, each scored from 1 to 4. The total score determines the most suitable type, per the classification below.</w:t>
      </w:r>
    </w:p>
    <w:p>
      <w:pPr>
        <w:pStyle w:val="Heading2"/>
        <w:bidi w:val="false"/>
        <w:spacing w:after="80" w:before="200"/>
        <w:jc w:val="left"/>
      </w:pPr>
      <w:r>
        <w:rPr>
          <w:rFonts w:ascii="Arial" w:cs="Arial" w:eastAsia="Arial" w:hAnsi="Arial"/>
          <w:b/>
          <w:bCs/>
          <w:color w:val="1F1F1F"/>
          <w:sz w:val="24"/>
          <w:szCs w:val="24"/>
          <w:rtl w:val="false"/>
        </w:rPr>
        <w:t xml:space="preserve">Criteria (score each 1–4)</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Criterion</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Organisational project-management maturity</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Complexity of initiatives and projects</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Degree of strategic alignment required</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Level of control and assurance needed</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Strength of executive sponsorship</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Size and diversity of the portfolio</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Need for standardisation across units</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Centralisation of resources and decisions</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Authority required to enforce decisions</w:t>
            </w:r>
          </w:p>
        </w:tc>
      </w:tr>
    </w:tbl>
    <w:p>
      <w:pPr>
        <w:spacing w:after="12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Classification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Total</w:t>
            </w:r>
          </w:p>
        </w:tc>
        <w:tc>
          <w:tcPr>
            <w:tcW w:type="dxa" w:w="68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PMO Type</w:t>
            </w:r>
          </w:p>
        </w:tc>
      </w:tr>
      <w:tr>
        <w:tc>
          <w:tcPr>
            <w:tcW w:type="dxa" w:w="2200"/>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09 – 15</w:t>
            </w:r>
          </w:p>
        </w:tc>
        <w:tc>
          <w:tcPr>
            <w:tcW w:type="dxa" w:w="68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Supportive</w:t>
            </w:r>
          </w:p>
        </w:tc>
      </w:tr>
      <w:tr>
        <w:tc>
          <w:tcPr>
            <w:tcW w:type="dxa" w:w="2200"/>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16 – 22</w:t>
            </w:r>
          </w:p>
        </w:tc>
        <w:tc>
          <w:tcPr>
            <w:tcW w:type="dxa" w:w="68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Controlling</w:t>
            </w:r>
          </w:p>
        </w:tc>
      </w:tr>
      <w:tr>
        <w:tc>
          <w:tcPr>
            <w:tcW w:type="dxa" w:w="2200"/>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23 – 29</w:t>
            </w:r>
          </w:p>
        </w:tc>
        <w:tc>
          <w:tcPr>
            <w:tcW w:type="dxa" w:w="68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Directive</w:t>
            </w:r>
          </w:p>
        </w:tc>
      </w:tr>
      <w:tr>
        <w:tc>
          <w:tcPr>
            <w:tcW w:type="dxa" w:w="2200"/>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30 – 36</w:t>
            </w:r>
          </w:p>
        </w:tc>
        <w:tc>
          <w:tcPr>
            <w:tcW w:type="dxa" w:w="68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Strategic</w:t>
            </w:r>
          </w:p>
        </w:tc>
      </w:tr>
    </w:tbl>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4. Selecting the PMO Model</w:t>
      </w:r>
    </w:p>
    <w:p>
      <w:pPr>
        <w:spacing w:after="120" w:line="288"/>
        <w:jc w:val="both"/>
      </w:pPr>
      <w:r>
        <w:rPr>
          <w:rFonts w:ascii="Arial" w:cs="Arial" w:eastAsia="Arial" w:hAnsi="Arial"/>
          <w:b w:val="false"/>
          <w:bCs w:val="false"/>
          <w:i w:val="false"/>
          <w:iCs w:val="false"/>
          <w:color w:val="2E2A28"/>
          <w:sz w:val="21"/>
          <w:szCs w:val="21"/>
        </w:rPr>
        <w:t xml:space="preserve">The PMO type and operating model are determined by applying the selection criteria above to the organisation's context and matching the total score to the classification. The Office carries out this assessment itself at establishment, so the model reflects its actual needs, priorities, and maturity. It is normal for the PMO to move between types as the organisation matures over time.</w:t>
      </w:r>
    </w:p>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5. Operating Model Dimensions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Dimension</w:t>
            </w:r>
          </w:p>
        </w:tc>
        <w:tc>
          <w:tcPr>
            <w:tcW w:type="dxa" w:w="68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Description</w:t>
            </w:r>
          </w:p>
        </w:tc>
      </w:tr>
      <w:tr>
        <w:tc>
          <w:tcPr>
            <w:tcW w:type="dxa" w:w="2200"/>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Mandate</w:t>
            </w:r>
          </w:p>
        </w:tc>
        <w:tc>
          <w:tcPr>
            <w:tcW w:type="dxa" w:w="68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Authority granted to the PMO and its decision scope</w:t>
            </w:r>
          </w:p>
        </w:tc>
      </w:tr>
      <w:tr>
        <w:tc>
          <w:tcPr>
            <w:tcW w:type="dxa" w:w="2200"/>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Functions</w:t>
            </w:r>
          </w:p>
        </w:tc>
        <w:tc>
          <w:tcPr>
            <w:tcW w:type="dxa" w:w="68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The services delivered across the lifecycle</w:t>
            </w:r>
          </w:p>
        </w:tc>
      </w:tr>
      <w:tr>
        <w:tc>
          <w:tcPr>
            <w:tcW w:type="dxa" w:w="2200"/>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Governance</w:t>
            </w:r>
          </w:p>
        </w:tc>
        <w:tc>
          <w:tcPr>
            <w:tcW w:type="dxa" w:w="68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Committees, gates, and escalation interfaces</w:t>
            </w:r>
          </w:p>
        </w:tc>
      </w:tr>
      <w:tr>
        <w:tc>
          <w:tcPr>
            <w:tcW w:type="dxa" w:w="2200"/>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Decision rights</w:t>
            </w:r>
          </w:p>
        </w:tc>
        <w:tc>
          <w:tcPr>
            <w:tcW w:type="dxa" w:w="68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What the PMO decides versus recommends</w:t>
            </w:r>
          </w:p>
        </w:tc>
      </w:tr>
      <w:tr>
        <w:tc>
          <w:tcPr>
            <w:tcW w:type="dxa" w:w="2200"/>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Reporting line</w:t>
            </w:r>
          </w:p>
        </w:tc>
        <w:tc>
          <w:tcPr>
            <w:tcW w:type="dxa" w:w="68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Where the PMO reports within the organisation</w:t>
            </w:r>
          </w:p>
        </w:tc>
      </w:tr>
      <w:tr>
        <w:tc>
          <w:tcPr>
            <w:tcW w:type="dxa" w:w="2200"/>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People &amp; tools</w:t>
            </w:r>
          </w:p>
        </w:tc>
        <w:tc>
          <w:tcPr>
            <w:tcW w:type="dxa" w:w="68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Team competencies and supporting systems</w:t>
            </w:r>
          </w:p>
        </w:tc>
      </w:tr>
    </w:tbl>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6. Maturity Path</w:t>
      </w:r>
    </w:p>
    <w:p>
      <w:pPr>
        <w:spacing w:after="140" w:line="288"/>
        <w:jc w:val="both"/>
      </w:pPr>
      <w:r>
        <w:rPr>
          <w:rFonts w:ascii="Arial" w:cs="Arial" w:eastAsia="Arial" w:hAnsi="Arial"/>
          <w:b w:val="false"/>
          <w:bCs w:val="false"/>
          <w:i w:val="false"/>
          <w:iCs w:val="false"/>
          <w:color w:val="2E2A28"/>
          <w:sz w:val="21"/>
          <w:szCs w:val="21"/>
        </w:rPr>
        <w:t xml:space="preserve">The PMO's role evolves as the organisation matures in project management, in line with the levels of the P3M3 maturity model.</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P3M3 level</w:t>
            </w:r>
          </w:p>
        </w:tc>
        <w:tc>
          <w:tcPr>
            <w:tcW w:type="dxa" w:w="68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PMO posture</w:t>
            </w:r>
          </w:p>
        </w:tc>
      </w:tr>
      <w:tr>
        <w:tc>
          <w:tcPr>
            <w:tcW w:type="dxa" w:w="2200"/>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Level 2 — Repeatable</w:t>
            </w:r>
          </w:p>
        </w:tc>
        <w:tc>
          <w:tcPr>
            <w:tcW w:type="dxa" w:w="68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Supportive — enable and assist</w:t>
            </w:r>
          </w:p>
        </w:tc>
      </w:tr>
      <w:tr>
        <w:tc>
          <w:tcPr>
            <w:tcW w:type="dxa" w:w="2200"/>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Level 3 — Defined</w:t>
            </w:r>
          </w:p>
        </w:tc>
        <w:tc>
          <w:tcPr>
            <w:tcW w:type="dxa" w:w="68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Controlling — standardise and assure</w:t>
            </w:r>
          </w:p>
        </w:tc>
      </w:tr>
      <w:tr>
        <w:tc>
          <w:tcPr>
            <w:tcW w:type="dxa" w:w="2200"/>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Level 4 — Managed</w:t>
            </w:r>
          </w:p>
        </w:tc>
        <w:tc>
          <w:tcPr>
            <w:tcW w:type="dxa" w:w="68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Directive — manage and measure</w:t>
            </w:r>
          </w:p>
        </w:tc>
      </w:tr>
      <w:tr>
        <w:tc>
          <w:tcPr>
            <w:tcW w:type="dxa" w:w="2200"/>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Level 5 — Optimised</w:t>
            </w:r>
          </w:p>
        </w:tc>
        <w:tc>
          <w:tcPr>
            <w:tcW w:type="dxa" w:w="68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Strategic — align and optimise</w:t>
            </w:r>
          </w:p>
        </w:tc>
      </w:tr>
    </w:tbl>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6" w:space="4"/>
      </w:pBdr>
      <w:tabs>
        <w:tab w:val="right" w:pos="9026"/>
      </w:tabs>
      <w:bidi w:val="false"/>
      <w:spacing w:before="0"/>
    </w:pPr>
    <w:r>
      <w:rPr>
        <w:rFonts w:ascii="Arial" w:cs="Arial" w:eastAsia="Arial" w:hAnsi="Arial"/>
        <w:color w:val="6E6E6E"/>
        <w:sz w:val="16"/>
        <w:szCs w:val="16"/>
        <w:rtl w:val="false"/>
      </w:rPr>
      <w:t xml:space="preserve">[Your Organization]	Page </w:t>
    </w:r>
    <w:r>
      <w:rPr>
        <w:rFonts w:ascii="Arial" w:cs="Arial" w:eastAsia="Arial" w:hAnsi="Arial"/>
        <w:sz w:val="16"/>
        <w:szCs w:val="16"/>
      </w:rPr>
      <w:t xml:space="preserve"/>
    </w:r>
    <w:r>
      <w:rPr>
        <w:rFonts w:ascii="Arial" w:cs="Arial" w:eastAsia="Arial" w:hAnsi="Arial"/>
        <w:color w:val="6E6E6E"/>
        <w:sz w:val="16"/>
        <w:szCs w:val="16"/>
      </w:rPr>
      <w:t xml:space="preserve"/>
    </w:r>
    <w:r>
      <w:rPr>
        <w:rFonts w:ascii="Arial" w:cs="Arial" w:eastAsia="Arial" w:hAnsi="Arial"/>
        <w:color w:val="6E6E6E"/>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C8" w:sz="6" w:space="4"/>
      </w:pBdr>
      <w:tabs>
        <w:tab w:val="right" w:pos="9026"/>
      </w:tabs>
      <w:bidi w:val="false"/>
      <w:spacing w:after="0"/>
      <w:jc w:val="left"/>
    </w:pPr>
    <w:r>
      <w:rPr>
        <w:rFonts w:ascii="Arial" w:cs="Arial" w:eastAsia="Arial" w:hAnsi="Arial"/>
        <w:color w:val="6E6E6E"/>
        <w:sz w:val="16"/>
        <w:szCs w:val="16"/>
        <w:rtl w:val="false"/>
      </w:rPr>
      <w:t xml:space="preserve">[Your Organization]	PMO Operating Model &amp; Type</w:t>
    </w:r>
    <w:r>
      <w:rPr>
        <w:rFonts w:ascii="Arial" w:cs="Arial" w:eastAsia="Arial" w:hAnsi="Arial"/>
        <w:b/>
        <w:bCs/>
        <w:color w:val="1F1F1F"/>
        <w:sz w:val="16"/>
        <w:szCs w:val="16"/>
        <w:rtl w:val="false"/>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A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1F1F"/>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ITPMO-in-a-Box</dc:creator>
  <cp:lastModifiedBy>ITPMO-in-a-Box</cp:lastModifiedBy>
  <cp:revision>1</cp:revision>
  <dcterms:created xsi:type="dcterms:W3CDTF">2026-06-04T20:00:01.271Z</dcterms:created>
  <dcterms:modified xsi:type="dcterms:W3CDTF">2026-06-04T20:00:01.271Z</dcterms:modified>
</cp:coreProperties>
</file>

<file path=docProps/custom.xml><?xml version="1.0" encoding="utf-8"?>
<Properties xmlns="http://schemas.openxmlformats.org/officeDocument/2006/custom-properties" xmlns:vt="http://schemas.openxmlformats.org/officeDocument/2006/docPropsVTypes"/>
</file>