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0"/>
        <w:jc w:val="center"/>
      </w:pPr>
      <w:r>
        <w:rPr>
          <w:rFonts w:ascii="Arial" w:cs="Arial" w:eastAsia="Arial" w:hAnsi="Arial"/>
          <w:color w:val="6E6E6E"/>
          <w:sz w:val="19"/>
          <w:szCs w:val="19"/>
          <w:rtl w:val="false"/>
        </w:rPr>
        <w:t xml:space="preserve">[Your Country]</w:t>
      </w:r>
    </w:p>
    <w:p>
      <w:pPr>
        <w:spacing w:after="6"/>
        <w:jc w:val="center"/>
      </w:pPr>
      <w:r>
        <w:rPr>
          <w:rFonts w:ascii="Arial" w:cs="Arial" w:eastAsia="Arial" w:hAnsi="Arial"/>
          <w:b/>
          <w:bCs/>
          <w:color w:val="1F1F1F"/>
          <w:sz w:val="30"/>
          <w:szCs w:val="30"/>
          <w:rtl w:val="false"/>
        </w:rPr>
        <w:t xml:space="preserve">[Your Organization]</w:t>
      </w:r>
    </w:p>
    <w:p>
      <w:pPr>
        <w:pBdr>
          <w:bottom w:val="single" w:color="1F1F1F" w:sz="18" w:space="8"/>
        </w:pBdr>
        <w:spacing w:after="240"/>
        <w:jc w:val="center"/>
      </w:pPr>
      <w:r>
        <w:t xml:space="preserve"/>
      </w:r>
    </w:p>
    <w:p>
      <w:pPr>
        <w:spacing w:after="8"/>
        <w:jc w:val="center"/>
      </w:pPr>
      <w:r>
        <w:rPr>
          <w:rFonts w:ascii="Arial" w:cs="Arial" w:eastAsia="Arial" w:hAnsi="Arial"/>
          <w:b/>
          <w:bCs/>
          <w:color w:val="1F1F1F"/>
          <w:sz w:val="40"/>
          <w:szCs w:val="40"/>
          <w:rtl w:val="false"/>
        </w:rPr>
        <w:t xml:space="preserve">Project Management Office — Service Catalogue</w:t>
      </w:r>
    </w:p>
    <w:p>
      <w:pPr>
        <w:spacing w:after="4" w:before="520"/>
        <w:jc w:val="center"/>
      </w:pPr>
      <w:r>
        <w:rPr>
          <w:rFonts w:ascii="Arial" w:cs="Arial" w:eastAsia="Arial" w:hAnsi="Arial"/>
          <w:color w:val="6E6E6E"/>
          <w:sz w:val="20"/>
          <w:szCs w:val="20"/>
          <w:rtl w:val="false"/>
        </w:rPr>
        <w:t xml:space="preserve">Version 1.0</w:t>
      </w:r>
    </w:p>
    <w:p>
      <w:pPr>
        <w:jc w:val="center"/>
      </w:pPr>
      <w:r>
        <w:rPr>
          <w:rFonts w:ascii="Arial" w:cs="Arial" w:eastAsia="Arial" w:hAnsi="Arial"/>
          <w:color w:val="6E6E6E"/>
          <w:sz w:val="20"/>
          <w:szCs w:val="20"/>
        </w:rPr>
        <w:t xml:space="preserve">2026</w:t>
      </w:r>
    </w:p>
    <w:p>
      <w:r>
        <w:br w:type="page"/>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1. Introduction</w:t>
      </w:r>
    </w:p>
    <w:p>
      <w:pPr>
        <w:spacing w:after="170" w:line="288"/>
        <w:jc w:val="both"/>
      </w:pPr>
      <w:r>
        <w:rPr>
          <w:rFonts w:ascii="Arial" w:cs="Arial" w:eastAsia="Arial" w:hAnsi="Arial"/>
          <w:b w:val="false"/>
          <w:bCs w:val="false"/>
          <w:i w:val="false"/>
          <w:iCs w:val="false"/>
          <w:color w:val="2E2A28"/>
          <w:sz w:val="21"/>
          <w:szCs w:val="21"/>
        </w:rPr>
        <w:t xml:space="preserve">This Service Catalogue defines the services delivered by the Project Management Office (PMO) of the [Your Organization]. It describes the purpose of the PMO, the services it provides across the initiative and project lifecycle, the standards that govern those services, and the levels of service stakeholders can expect. It is the single reference point for any entity engaging the PMO.</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2. Purpose &amp; Scope</w:t>
      </w:r>
    </w:p>
    <w:p>
      <w:pPr>
        <w:spacing w:after="170" w:line="288"/>
        <w:jc w:val="both"/>
      </w:pPr>
      <w:r>
        <w:rPr>
          <w:rFonts w:ascii="Arial" w:cs="Arial" w:eastAsia="Arial" w:hAnsi="Arial"/>
          <w:b w:val="false"/>
          <w:bCs w:val="false"/>
          <w:i w:val="false"/>
          <w:iCs w:val="false"/>
          <w:color w:val="2E2A28"/>
          <w:sz w:val="21"/>
          <w:szCs w:val="21"/>
        </w:rPr>
        <w:t xml:space="preserve">The PMO exists to ensure that initiatives and projects are selected, planned, governed, and delivered in a consistent and disciplined way — turning strategic direction into measurable outcomes. It operates as an enabling function and a centre of knowledge, not as a substitute for initiative owners.</w:t>
      </w:r>
    </w:p>
    <w:p>
      <w:pPr>
        <w:pStyle w:val="Heading2"/>
        <w:bidi w:val="false"/>
        <w:spacing w:after="80" w:before="200"/>
        <w:jc w:val="left"/>
      </w:pPr>
      <w:r>
        <w:rPr>
          <w:rFonts w:ascii="Arial" w:cs="Arial" w:eastAsia="Arial" w:hAnsi="Arial"/>
          <w:b/>
          <w:bCs/>
          <w:color w:val="1F1F1F"/>
          <w:sz w:val="24"/>
          <w:szCs w:val="24"/>
          <w:rtl w:val="false"/>
        </w:rPr>
        <w:t xml:space="preserve">In scope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In scope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Strategic initiatives and transformation projects under the Office's mandate</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Cross-functional and improvement projects across business units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Methodology, governance, planning, reporting, and assurance services</w:t>
            </w:r>
          </w:p>
        </w:tc>
      </w:tr>
    </w:tbl>
    <w:p>
      <w:pPr>
        <w:spacing w:after="12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Out of scope</w:t>
      </w:r>
    </w:p>
    <w:p>
      <w:pPr>
        <w:spacing w:after="170" w:line="288"/>
        <w:jc w:val="both"/>
      </w:pPr>
      <w:r>
        <w:rPr>
          <w:rFonts w:ascii="Arial" w:cs="Arial" w:eastAsia="Arial" w:hAnsi="Arial"/>
          <w:b w:val="false"/>
          <w:bCs w:val="false"/>
          <w:i w:val="false"/>
          <w:iCs w:val="false"/>
          <w:color w:val="2E2A28"/>
          <w:sz w:val="21"/>
          <w:szCs w:val="21"/>
        </w:rPr>
        <w:t xml:space="preserve">The PMO does not perform day-to-day business-as-usual operations and does not replace the formal authority of the business units that own the initiatives; it provides them with the framework, tools, and support.</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3. Vision &amp; Mission</w:t>
      </w:r>
    </w:p>
    <w:p>
      <w:pPr>
        <w:pStyle w:val="Heading2"/>
        <w:bidi w:val="false"/>
        <w:spacing w:after="80" w:before="200"/>
        <w:jc w:val="left"/>
      </w:pPr>
      <w:r>
        <w:rPr>
          <w:rFonts w:ascii="Arial" w:cs="Arial" w:eastAsia="Arial" w:hAnsi="Arial"/>
          <w:b/>
          <w:bCs/>
          <w:color w:val="1F1F1F"/>
          <w:sz w:val="24"/>
          <w:szCs w:val="24"/>
          <w:rtl w:val="false"/>
        </w:rPr>
        <w:t xml:space="preserve">Vision</w:t>
      </w:r>
    </w:p>
    <w:p>
      <w:pPr>
        <w:spacing w:after="170" w:line="288"/>
        <w:jc w:val="both"/>
      </w:pPr>
      <w:r>
        <w:rPr>
          <w:rFonts w:ascii="Arial" w:cs="Arial" w:eastAsia="Arial" w:hAnsi="Arial"/>
          <w:b w:val="false"/>
          <w:bCs w:val="false"/>
          <w:i w:val="false"/>
          <w:iCs w:val="false"/>
          <w:color w:val="2E2A28"/>
          <w:sz w:val="21"/>
          <w:szCs w:val="21"/>
        </w:rPr>
        <w:t xml:space="preserve">To be a trusted centre of excellence that enables the [Your Organization] to deliver its initiatives with discipline, transparency, and measurable value.</w:t>
      </w:r>
    </w:p>
    <w:p>
      <w:pPr>
        <w:pStyle w:val="Heading2"/>
        <w:bidi w:val="false"/>
        <w:spacing w:after="80" w:before="200"/>
        <w:jc w:val="left"/>
      </w:pPr>
      <w:r>
        <w:rPr>
          <w:rFonts w:ascii="Arial" w:cs="Arial" w:eastAsia="Arial" w:hAnsi="Arial"/>
          <w:b/>
          <w:bCs/>
          <w:color w:val="1F1F1F"/>
          <w:sz w:val="24"/>
          <w:szCs w:val="24"/>
          <w:rtl w:val="false"/>
        </w:rPr>
        <w:t xml:space="preserve">Mission</w:t>
      </w:r>
    </w:p>
    <w:p>
      <w:pPr>
        <w:spacing w:after="170" w:line="288"/>
        <w:jc w:val="both"/>
      </w:pPr>
      <w:r>
        <w:rPr>
          <w:rFonts w:ascii="Arial" w:cs="Arial" w:eastAsia="Arial" w:hAnsi="Arial"/>
          <w:b w:val="false"/>
          <w:bCs w:val="false"/>
          <w:i w:val="false"/>
          <w:iCs w:val="false"/>
          <w:color w:val="2E2A28"/>
          <w:sz w:val="21"/>
          <w:szCs w:val="21"/>
        </w:rPr>
        <w:t xml:space="preserve">To provide the standards, governance, tools, and support that allow every initiative and project to be planned, executed, and closed in a consistent and successful manner.</w:t>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4. Objectives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Objective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Align initiatives and projects with strategic objectives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Standardise methodology, processes, and templates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Provide transparent, near-real-time visibility of performance</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Strengthen governance, assurance, and decision-making</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Improve delivery predictability and benefits realisation</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Build project-management capability across the organisation</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5. Our Values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Value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Consistency — common methods, processes, and templates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Transparency — reliable, timely dashboards and reports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Quality — disciplined review of deliverables against criteria</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Accountability — clear roles, decision rights, and ownership</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Alignment — effort focused on the right, prioritised work</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Learning — lessons captured and reused across initiatives</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6. Stakeholders, Roles &amp; Responsibilities</w:t>
      </w:r>
    </w:p>
    <w:p>
      <w:pPr>
        <w:spacing w:after="170" w:line="288"/>
        <w:jc w:val="both"/>
      </w:pPr>
      <w:r>
        <w:rPr>
          <w:rFonts w:ascii="Arial" w:cs="Arial" w:eastAsia="Arial" w:hAnsi="Arial"/>
          <w:b w:val="false"/>
          <w:bCs w:val="false"/>
          <w:i w:val="false"/>
          <w:iCs w:val="false"/>
          <w:color w:val="2E2A28"/>
          <w:sz w:val="21"/>
          <w:szCs w:val="21"/>
        </w:rPr>
        <w:t xml:space="preserve">Responsibility for managing initiatives and projects is distributed across the following roles, ensuring clear authority and escalation lines.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Role</w:t>
            </w:r>
          </w:p>
        </w:tc>
        <w:tc>
          <w:tcPr>
            <w:tcW w:type="dxa" w:w="68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Responsibilities</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Steering Committee</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Sets priorities, approves stage gates, resolves escalated decisions</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PMO Director</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Owns the methodology, governance, and PMO performance</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Project Manager</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Plans and delivers the project; manages scope, risk, and reporting</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Business Owner</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Owns the business case and the realisation of benefits</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PMO Analyst</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Maintains data, dashboards, templates, and assurance reviews</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7. The Service Catalogue</w:t>
      </w:r>
    </w:p>
    <w:p>
      <w:pPr>
        <w:spacing w:after="170" w:line="288"/>
        <w:jc w:val="both"/>
      </w:pPr>
      <w:r>
        <w:rPr>
          <w:rFonts w:ascii="Arial" w:cs="Arial" w:eastAsia="Arial" w:hAnsi="Arial"/>
          <w:b w:val="false"/>
          <w:bCs w:val="false"/>
          <w:i w:val="false"/>
          <w:iCs w:val="false"/>
          <w:color w:val="2E2A28"/>
          <w:sz w:val="21"/>
          <w:szCs w:val="21"/>
        </w:rPr>
        <w:t xml:space="preserve">The PMO's services are organised into ten service domains, each delivering a set of services across the design, operation, and monitoring stages.</w:t>
      </w:r>
    </w:p>
    <w:p>
      <w:pPr>
        <w:pStyle w:val="Heading2"/>
        <w:bidi w:val="false"/>
        <w:spacing w:after="80" w:before="200"/>
        <w:jc w:val="left"/>
      </w:pPr>
      <w:r>
        <w:rPr>
          <w:rFonts w:ascii="Arial" w:cs="Arial" w:eastAsia="Arial" w:hAnsi="Arial"/>
          <w:b/>
          <w:bCs/>
          <w:color w:val="1F1F1F"/>
          <w:sz w:val="24"/>
          <w:szCs w:val="24"/>
          <w:rtl w:val="false"/>
        </w:rPr>
        <w:t xml:space="preserve">Governance &amp; Assurance</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Define and maintain the governance framework and stage gates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Independent assurance and health checks of initiatives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Secretariat support to steering and review committees</w:t>
            </w:r>
          </w:p>
        </w:tc>
      </w:tr>
    </w:tbl>
    <w:p>
      <w:pPr>
        <w:spacing w:after="11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Methodology &amp; Standards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Maintain the standard project methodology and lifecycle</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Provide and tailor templates, standards, and guidelines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Train teams on the methodology and its application</w:t>
            </w:r>
          </w:p>
        </w:tc>
      </w:tr>
    </w:tbl>
    <w:p>
      <w:pPr>
        <w:spacing w:after="11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Portfolio &amp; Demand Management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Intake, classify, and prioritise new initiative requests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Maintain the portfolio register and selection criteria</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Balance the portfolio against capacity and strategy</w:t>
            </w:r>
          </w:p>
        </w:tc>
      </w:tr>
    </w:tbl>
    <w:p>
      <w:pPr>
        <w:spacing w:after="11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Planning &amp; Scheduling</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Set planning standards and support schedule development</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Maintain integrated milestones across the portfolio</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Provide estimating and dependency-management support</w:t>
            </w:r>
          </w:p>
        </w:tc>
      </w:tr>
    </w:tbl>
    <w:p>
      <w:pPr>
        <w:spacing w:after="11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Risk, Issue &amp; Change Management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Maintain the risk, issue, and change frameworks and registers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Facilitate risk assessment and mitigation planning</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Control change requests and cross-initiative impact</w:t>
            </w:r>
          </w:p>
        </w:tc>
      </w:tr>
    </w:tbl>
    <w:p>
      <w:pPr>
        <w:spacing w:after="11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Benefits &amp; Value Realisation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Define benefits and link them to the business case</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Track benefit realisation through and after delivery</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Report value delivered against strategic objectives</w:t>
            </w:r>
          </w:p>
        </w:tc>
      </w:tr>
    </w:tbl>
    <w:p>
      <w:pPr>
        <w:spacing w:after="11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Performance Reporting &amp; Dashboards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Define KPIs and the reporting framework</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Produce portfolio and project status dashboards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Provide constructive challenge on reported performance</w:t>
            </w:r>
          </w:p>
        </w:tc>
      </w:tr>
    </w:tbl>
    <w:p>
      <w:pPr>
        <w:spacing w:after="11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Knowledge &amp; Capability</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Capture and share lessons learned and good practice</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Maintain the central knowledge and document repository</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Develop project-management competency and career paths</w:t>
            </w:r>
          </w:p>
        </w:tc>
      </w:tr>
    </w:tbl>
    <w:p>
      <w:pPr>
        <w:spacing w:after="11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Resource &amp; Capacity Management</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Forecast resource demand across the portfolio</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Provide what-if capacity analysis for decisions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Track commitments that affect delivery</w:t>
            </w:r>
          </w:p>
        </w:tc>
      </w:tr>
    </w:tbl>
    <w:p>
      <w:pPr>
        <w:spacing w:after="110"/>
      </w:pPr>
      <w:r>
        <w:t xml:space="preserve"/>
      </w:r>
    </w:p>
    <w:p>
      <w:pPr>
        <w:pStyle w:val="Heading2"/>
        <w:bidi w:val="false"/>
        <w:spacing w:after="80" w:before="200"/>
        <w:jc w:val="left"/>
      </w:pPr>
      <w:r>
        <w:rPr>
          <w:rFonts w:ascii="Arial" w:cs="Arial" w:eastAsia="Arial" w:hAnsi="Arial"/>
          <w:b/>
          <w:bCs/>
          <w:color w:val="1F1F1F"/>
          <w:sz w:val="24"/>
          <w:szCs w:val="24"/>
          <w:rtl w:val="false"/>
        </w:rPr>
        <w:t xml:space="preserve">Stakeholder &amp; Communication</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Maintain the stakeholder engagement framework</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Support communication planning across initiatives</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Coordinate consistent portfolio-level messaging</w:t>
            </w:r>
          </w:p>
        </w:tc>
      </w:tr>
    </w:tbl>
    <w:p>
      <w:pPr>
        <w:spacing w:after="110"/>
      </w:pPr>
      <w:r>
        <w:t xml:space="preserve"/>
      </w:r>
    </w:p>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8. Service Levels &amp; Engagement</w:t>
      </w:r>
    </w:p>
    <w:p>
      <w:pPr>
        <w:spacing w:after="170" w:line="288"/>
        <w:jc w:val="both"/>
      </w:pPr>
      <w:r>
        <w:rPr>
          <w:rFonts w:ascii="Arial" w:cs="Arial" w:eastAsia="Arial" w:hAnsi="Arial"/>
          <w:b w:val="false"/>
          <w:bCs w:val="false"/>
          <w:i w:val="false"/>
          <w:iCs w:val="false"/>
          <w:color w:val="2E2A28"/>
          <w:sz w:val="21"/>
          <w:szCs w:val="21"/>
        </w:rPr>
        <w:t xml:space="preserve">PMO services are delivered on a regular cadence and against published service levels, so that expectations are clear to all parties.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Service</w:t>
            </w:r>
          </w:p>
        </w:tc>
        <w:tc>
          <w:tcPr>
            <w:tcW w:type="dxa" w:w="68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Cadence</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Project status reporting</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Weekly</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Portfolio review</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Monthly</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Stage-gate / assurance review</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At each gate</w:t>
            </w:r>
          </w:p>
        </w:tc>
      </w:tr>
      <w:tr>
        <w:tc>
          <w:tcPr>
            <w:tcW w:type="dxa" w:w="2200"/>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Methodology &amp; template updates</w:t>
            </w:r>
          </w:p>
        </w:tc>
        <w:tc>
          <w:tcPr>
            <w:tcW w:type="dxa" w:w="68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Quarterly</w:t>
            </w:r>
          </w:p>
        </w:tc>
      </w:tr>
      <w:tr>
        <w:tc>
          <w:tcPr>
            <w:tcW w:type="dxa" w:w="2200"/>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1"/>
                <w:szCs w:val="21"/>
                <w:rtl w:val="false"/>
              </w:rPr>
              <w:t xml:space="preserve">New initiative intake decision</w:t>
            </w:r>
          </w:p>
        </w:tc>
        <w:tc>
          <w:tcPr>
            <w:tcW w:type="dxa" w:w="68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Within 10 working days</w:t>
            </w:r>
          </w:p>
        </w:tc>
      </w:tr>
    </w:tbl>
    <w:p>
      <w:pPr>
        <w:pStyle w:val="Heading1"/>
        <w:pBdr>
          <w:bottom w:val="single" w:color="C8C8C8" w:sz="8" w:space="6"/>
        </w:pBdr>
        <w:bidi w:val="false"/>
        <w:spacing w:after="120" w:before="300"/>
        <w:jc w:val="left"/>
      </w:pPr>
      <w:r>
        <w:rPr>
          <w:rFonts w:ascii="Arial" w:cs="Arial" w:eastAsia="Arial" w:hAnsi="Arial"/>
          <w:b/>
          <w:bCs/>
          <w:color w:val="1F1F1F"/>
          <w:sz w:val="30"/>
          <w:szCs w:val="30"/>
          <w:rtl w:val="false"/>
        </w:rPr>
        <w:t xml:space="preserve">9. Definitions &amp; Abbreviations</w:t>
      </w:r>
    </w:p>
    <w:tbl>
      <w:tblPr>
        <w:bidiVisual w:val="fals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blHeader/>
        </w:trPr>
        <w:tc>
          <w:tcPr>
            <w:tcW w:type="dxa" w:w="9026"/>
            <w:tcBorders>
              <w:top w:val="single" w:color="C8C8C8" w:sz="1"/>
              <w:left w:val="single" w:color="C8C8C8" w:sz="1"/>
              <w:bottom w:val="single" w:color="C8C8C8" w:sz="1"/>
              <w:right w:val="single" w:color="C8C8C8" w:sz="1"/>
            </w:tcBorders>
            <w:shd w:fill="E0E0E0" w:val="clear"/>
            <w:tcMar>
              <w:top w:type="dxa" w:w="70"/>
              <w:left w:type="dxa" w:w="130"/>
              <w:bottom w:type="dxa" w:w="70"/>
              <w:right w:type="dxa" w:w="130"/>
            </w:tcMar>
            <w:vAlign w:val="center"/>
          </w:tcPr>
          <w:p>
            <w:pPr>
              <w:bidi w:val="false"/>
              <w:spacing w:line="276"/>
              <w:jc w:val="left"/>
            </w:pPr>
            <w:r>
              <w:rPr>
                <w:rFonts w:ascii="Arial" w:cs="Arial" w:eastAsia="Arial" w:hAnsi="Arial"/>
                <w:b/>
                <w:bCs/>
                <w:color w:val="2E2A28"/>
                <w:sz w:val="20"/>
                <w:szCs w:val="20"/>
                <w:rtl w:val="false"/>
              </w:rPr>
              <w:t xml:space="preserve">Term</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Initiative — a strategic effort that delivers defined outcomes</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Project — a temporary effort to create a unique deliverable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Portfolio — the collection of initiatives and projects managed together</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Stage Gate — a control point to approve continuation</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Benefit — a measurable improvement resulting from an initiative</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PMO — Project Management Office</w:t>
            </w:r>
          </w:p>
        </w:tc>
      </w:tr>
      <w:tr>
        <w:tc>
          <w:tcPr>
            <w:tcW w:type="dxa" w:w="9026"/>
            <w:tcBorders>
              <w:top w:val="single" w:color="C8C8C8" w:sz="1"/>
              <w:left w:val="single" w:color="C8C8C8" w:sz="1"/>
              <w:bottom w:val="single" w:color="C8C8C8" w:sz="1"/>
              <w:right w:val="single" w:color="C8C8C8" w:sz="1"/>
            </w:tcBorders>
            <w:shd w:fill="FFFFFF"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[Your Organization] — [Your Organization]</w:t>
            </w:r>
          </w:p>
        </w:tc>
      </w:tr>
      <w:tr>
        <w:tc>
          <w:tcPr>
            <w:tcW w:type="dxa" w:w="9026"/>
            <w:tcBorders>
              <w:top w:val="single" w:color="C8C8C8" w:sz="1"/>
              <w:left w:val="single" w:color="C8C8C8" w:sz="1"/>
              <w:bottom w:val="single" w:color="C8C8C8" w:sz="1"/>
              <w:right w:val="single" w:color="C8C8C8" w:sz="1"/>
            </w:tcBorders>
            <w:shd w:fill="F2F2F2" w:val="clear"/>
            <w:tcMar>
              <w:top w:type="dxa" w:w="70"/>
              <w:left w:type="dxa" w:w="130"/>
              <w:bottom w:type="dxa" w:w="70"/>
              <w:right w:type="dxa" w:w="130"/>
            </w:tcMar>
            <w:vAlign w:val="center"/>
          </w:tcPr>
          <w:p>
            <w:pPr>
              <w:bidi w:val="false"/>
              <w:spacing w:line="276"/>
              <w:jc w:val="left"/>
            </w:pPr>
            <w:r>
              <w:rPr>
                <w:rFonts w:ascii="Arial" w:cs="Arial" w:eastAsia="Arial" w:hAnsi="Arial"/>
                <w:b w:val="false"/>
                <w:bCs w:val="false"/>
                <w:color w:val="2E2A28"/>
                <w:sz w:val="21"/>
                <w:szCs w:val="21"/>
                <w:rtl w:val="false"/>
              </w:rPr>
              <w:t xml:space="preserve">P3M3 — Portfolio, Programme &amp; Project Management Maturity Model</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6" w:space="4"/>
      </w:pBdr>
      <w:tabs>
        <w:tab w:val="right" w:pos="9026"/>
      </w:tabs>
      <w:bidi w:val="false"/>
      <w:spacing w:before="0"/>
    </w:pPr>
    <w:r>
      <w:rPr>
        <w:rFonts w:ascii="Arial" w:cs="Arial" w:eastAsia="Arial" w:hAnsi="Arial"/>
        <w:color w:val="6E6E6E"/>
        <w:sz w:val="16"/>
        <w:szCs w:val="16"/>
        <w:rtl w:val="false"/>
      </w:rPr>
      <w:t xml:space="preserve">[Your Organization]	Page </w:t>
    </w:r>
    <w:r>
      <w:rPr>
        <w:rFonts w:ascii="Arial" w:cs="Arial" w:eastAsia="Arial" w:hAnsi="Arial"/>
        <w:sz w:val="16"/>
        <w:szCs w:val="16"/>
      </w:rPr>
      <w:t xml:space="preserve"/>
    </w:r>
    <w:r>
      <w:rPr>
        <w:rFonts w:ascii="Arial" w:cs="Arial" w:eastAsia="Arial" w:hAnsi="Arial"/>
        <w:color w:val="6E6E6E"/>
        <w:sz w:val="16"/>
        <w:szCs w:val="16"/>
      </w:rPr>
      <w:t xml:space="preserve"/>
    </w:r>
    <w:r>
      <w:rPr>
        <w:rFonts w:ascii="Arial" w:cs="Arial" w:eastAsia="Arial" w:hAnsi="Arial"/>
        <w:color w:val="6E6E6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6" w:space="4"/>
      </w:pBdr>
      <w:tabs>
        <w:tab w:val="right" w:pos="9026"/>
      </w:tabs>
      <w:bidi w:val="false"/>
      <w:spacing w:after="0"/>
      <w:jc w:val="left"/>
    </w:pPr>
    <w:r>
      <w:rPr>
        <w:rFonts w:ascii="Arial" w:cs="Arial" w:eastAsia="Arial" w:hAnsi="Arial"/>
        <w:color w:val="6E6E6E"/>
        <w:sz w:val="16"/>
        <w:szCs w:val="16"/>
        <w:rtl w:val="false"/>
      </w:rPr>
      <w:t xml:space="preserve">[Your Organization]	PMO Service Catalogue</w:t>
    </w:r>
    <w:r>
      <w:rPr>
        <w:rFonts w:ascii="Arial" w:cs="Arial" w:eastAsia="Arial" w:hAnsi="Arial"/>
        <w:b/>
        <w:bCs/>
        <w:color w:val="1F1F1F"/>
        <w:sz w:val="16"/>
        <w:szCs w:val="16"/>
        <w:rtl w:val="false"/>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1F1F"/>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ITPMO-in-a-Box</dc:creator>
  <cp:lastModifiedBy>ITPMO-in-a-Box</cp:lastModifiedBy>
  <cp:revision>1</cp:revision>
  <dcterms:created xsi:type="dcterms:W3CDTF">2026-06-04T20:00:01.183Z</dcterms:created>
  <dcterms:modified xsi:type="dcterms:W3CDTF">2026-06-04T20:00:01.183Z</dcterms:modified>
</cp:coreProperties>
</file>

<file path=docProps/custom.xml><?xml version="1.0" encoding="utf-8"?>
<Properties xmlns="http://schemas.openxmlformats.org/officeDocument/2006/custom-properties" xmlns:vt="http://schemas.openxmlformats.org/officeDocument/2006/docPropsVTypes"/>
</file>