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20" w:line="259" w:lineRule="auto"/>
        <w:jc w:val="center"/>
        <w:widowControl/>
      </w:pPr>
      <w:r>
        <w:rPr>
          <w:rFonts w:ascii="Times New Roman" w:hAnsi="Times New Roman" w:eastAsia="Times New Roman" w:cs="Times New Roman"/>
          <w:b/>
          <w:i w:val="0"/>
          <w:color w:val="1F4E79"/>
          <w:sz w:val="32"/>
        </w:rPr>
        <w:t>CausalFed-TGNN: Invariant Heterogeneous Temporal Graph Learning for Open-Set Federated Financial Fraud Detection</w:t>
      </w:r>
    </w:p>
    <w:p>
      <w:pPr>
        <w:spacing w:before="0" w:after="60" w:line="252" w:lineRule="auto"/>
        <w:jc w:val="left"/>
        <w:widowControl/>
      </w:pPr>
      <w:r>
        <w:rPr>
          <w:rFonts w:ascii="Times New Roman" w:hAnsi="Times New Roman" w:eastAsia="Times New Roman" w:cs="Times New Roman"/>
          <w:color w:val="000000"/>
          <w:sz w:val="20"/>
        </w:rPr>
        <w:t>Article type: Original research article</w:t>
      </w:r>
      <w:r/>
      <w:r>
        <w:rPr>
          <w:rStyle w:val="CommentReference"/>
        </w:rPr>
      </w:r>
    </w:p>
    <w:p>
      <w:pPr>
        <w:spacing w:after="60" w:before="0" w:line="252" w:lineRule="auto"/>
        <w:jc w:val="left"/>
        <w:widowControl/>
      </w:pPr>
      <w:r>
        <w:rPr>
          <w:rFonts w:ascii="Times New Roman" w:hAnsi="Times New Roman" w:eastAsia="Times New Roman" w:cs="Times New Roman"/>
          <w:color w:val="000000"/>
          <w:sz w:val="20"/>
        </w:rPr>
        <w:t>Manuscript status: Blinded for peer review</w:t>
      </w:r>
    </w:p>
    <w:p>
      <w:pPr>
        <w:spacing w:after="60" w:before="0" w:line="252" w:lineRule="auto"/>
        <w:jc w:val="left"/>
        <w:widowControl/>
      </w:pPr>
      <w:r>
        <w:rPr>
          <w:rFonts w:ascii="Times New Roman" w:hAnsi="Times New Roman" w:eastAsia="Times New Roman" w:cs="Times New Roman"/>
          <w:color w:val="000000"/>
          <w:sz w:val="20"/>
        </w:rPr>
        <w:t>Author names, affiliations, ORCID identifiers, acknowledgements, funding, and contribution metadata are omitted for double-anonymous review.</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Abstract</w:t>
      </w:r>
    </w:p>
    <w:p>
      <w:pPr>
        <w:spacing w:after="60" w:line="252" w:lineRule="auto" w:before="0"/>
        <w:ind/>
        <w:jc w:val="left"/>
        <w:widowControl/>
      </w:pPr>
      <w:r>
        <w:t>Financial fraud detection across institutions must accommodate heterogeneous relations, temporal distribution shift, data-locality constraints, and fraud mechanisms that may be absent from training. CausalFed-TGNN is formulated as a federated heterogeneous temporal graph framework that combines relation-aware temporal encoding, invariant/environment-specific representation learning, independent novelty scoring, and provenance-aware evaluation. The term causal is retained as a project name and design motivation; the present study does not perform causal identification. We reanalyse 15 hash-verified synthetic streams at 50,000, 100,000, and 500,000 events and execute 30 pooled logistic-regression fits across two baseline feature sets using disjoint chronological training, validation, and test partitions. Unknown mechanisms D/E are excluded from model fitting and threshold calibration. At 500,000 events, the amount-only and historical-context baselines achieve known-class AUROC of 0.548 ± 0.006 and 0.515 ± 0.009, respectively (mean ± sample SD across five seeds). A corrected amount-based novelty proxy achieves unknown AUROC of 0.544 ± 0.005. The audit also identifies fixed daily event spacing and corrects reversed, tie-sensitive legacy ranking metrics. These completed experiments establish an auditable synthetic baseline but do not validate CausalFed-TGNN. Neural, federated-adversarial, ablation, and public-data evaluations remain pending.</w:t>
      </w:r>
    </w:p>
    <w:p>
      <w:pPr>
        <w:pStyle w:val="Heading1"/>
        <w:keepNext/>
        <w:keepLines/>
        <w:spacing w:after="60" w:before="160" w:line="240" w:lineRule="auto"/>
        <w:jc w:val="left"/>
        <w:widowControl/>
      </w:pPr>
      <w:r>
        <w:rPr>
          <w:rFonts w:ascii="Times New Roman" w:hAnsi="Times New Roman" w:eastAsia="Times New Roman" w:cs="Times New Roman"/>
          <w:b/>
          <w:i w:val="0"/>
          <w:color w:val="1F4E79"/>
          <w:sz w:val="26"/>
        </w:rPr>
        <w:t>Keywords</w:t>
      </w:r>
    </w:p>
    <w:p>
      <w:pPr>
        <w:spacing w:after="60" w:before="0" w:line="252" w:lineRule="auto"/>
        <w:jc w:val="left"/>
        <w:widowControl/>
      </w:pPr>
      <w:r>
        <w:rPr>
          <w:rFonts w:ascii="Times New Roman" w:hAnsi="Times New Roman" w:eastAsia="Times New Roman" w:cs="Times New Roman"/>
          <w:color w:val="000000"/>
          <w:sz w:val="20"/>
        </w:rPr>
        <w:t>Federated Learning; Heterogeneous Temporal Graphs; Invariant Representation Learning; Open-Set Recognition; Financial Fraud Detection; Continual Learning</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1. Introduction</w:t>
      </w:r>
    </w:p>
    <w:p>
      <w:pPr>
        <w:spacing w:after="60" w:line="252" w:lineRule="auto" w:before="0"/>
        <w:ind/>
        <w:jc w:val="left"/>
        <w:widowControl/>
      </w:pPr>
      <w:r>
        <w:rPr>
          <w:rFonts w:ascii="Times New Roman" w:hAnsi="Times New Roman" w:eastAsia="Times New Roman" w:cs="Times New Roman"/>
          <w:b w:val="0"/>
          <w:i w:val="0"/>
          <w:color w:val="000000"/>
          <w:sz w:val="20"/>
        </w:rPr>
        <w:t>Financial fraud detection is a high-stakes, highly imbalanced decision problem in which adversaries adapt, transaction behaviour evolves, and labels may arrive only after an operational decision has been made. Detection systems must identify suspicious activity while controlling false alarms that disrupt legitimate customers and consume investigation capacity [1-5]. These characteristics make temporal evaluation, precision-recall analysis, and explicit operating thresholds more informative than random-split accuracy alone.</w:t>
      </w:r>
    </w:p>
    <w:p>
      <w:pPr>
        <w:spacing w:after="60" w:line="252" w:lineRule="auto" w:before="0"/>
        <w:ind/>
        <w:jc w:val="left"/>
        <w:widowControl/>
      </w:pPr>
      <w:r>
        <w:rPr>
          <w:rFonts w:ascii="Times New Roman" w:hAnsi="Times New Roman" w:eastAsia="Times New Roman" w:cs="Times New Roman"/>
          <w:b w:val="0"/>
          <w:i w:val="0"/>
          <w:color w:val="000000"/>
          <w:sz w:val="20"/>
        </w:rPr>
        <w:t>Tabular or isolated-transaction modelling can miss repeated entity reuse, coordinated behaviour, and cross-transaction context. A merchant, device, or account may appear benign in isolation yet become suspicious when viewed through shared neighbours or evolving interaction patterns. This motivates relational modelling in which transactions are embedded in an interaction graph rather than treated as independent observations.</w:t>
      </w:r>
    </w:p>
    <w:p>
      <w:pPr>
        <w:spacing w:after="60" w:line="252" w:lineRule="auto" w:before="0"/>
        <w:ind/>
        <w:jc w:val="left"/>
        <w:widowControl/>
      </w:pPr>
      <w:r>
        <w:rPr>
          <w:rFonts w:ascii="Times New Roman" w:hAnsi="Times New Roman" w:eastAsia="Times New Roman" w:cs="Times New Roman"/>
          <w:b w:val="0"/>
          <w:i w:val="0"/>
          <w:color w:val="000000"/>
          <w:sz w:val="20"/>
        </w:rPr>
        <w:t>Temporal and heterogeneous graph learning addresses two additional properties of financial streams: relations have different semantics, and their predictive relevance can change over time. Heterogeneous graph encoders preserve typed interactions among accounts, transactions, devices, merchants, and locations [6-12,50-52], while dynamic and temporal models represent event order and evolving connectivity [13]. The methodological challenge is to exploit this context without leaking information from future events into model development or evaluation.</w:t>
      </w:r>
    </w:p>
    <w:p>
      <w:pPr>
        <w:spacing w:after="60" w:line="252" w:lineRule="auto" w:before="0"/>
        <w:ind/>
        <w:jc w:val="left"/>
        <w:widowControl/>
      </w:pPr>
      <w:r>
        <w:rPr>
          <w:rFonts w:ascii="Times New Roman" w:hAnsi="Times New Roman" w:eastAsia="Times New Roman" w:cs="Times New Roman"/>
          <w:b w:val="0"/>
          <w:i w:val="0"/>
          <w:color w:val="000000"/>
          <w:sz w:val="20"/>
        </w:rPr>
        <w:t>Institutional fragmentation introduces a separate systems constraint. Banks and payment providers often cannot centralise raw transaction records, while each institution observes a partial and non-identically distributed view of customers, merchants, devices, and attack patterns. Federated learning enables parameter-based coordination without raw-record pooling [14-19,42-44], but non-IID client distributions, heterogeneous participation, communication cost, malicious updates, and information leakage from gradients must be addressed explicitly [20-23,45,46].</w:t>
      </w:r>
    </w:p>
    <w:p>
      <w:pPr>
        <w:spacing w:after="60" w:line="252" w:lineRule="auto" w:before="0"/>
        <w:ind/>
        <w:jc w:val="left"/>
        <w:widowControl/>
      </w:pPr>
      <w:r>
        <w:rPr>
          <w:rFonts w:ascii="Times New Roman" w:hAnsi="Times New Roman" w:eastAsia="Times New Roman" w:cs="Times New Roman"/>
          <w:b w:val="0"/>
          <w:i w:val="0"/>
          <w:color w:val="000000"/>
          <w:sz w:val="20"/>
        </w:rPr>
        <w:t>Fraud models must also operate under distribution shift. New mechanisms can emerge after deployment, known mechanisms can change in prevalence or behaviour, and client populations can drift at different rates. Closed-set classification alone cannot distinguish a low-confidence known class from a genuinely novel event; open-set or out-of-distribution (OOD) detection therefore requires a separate decision object and calibration protocol [32-35,56-58]. Continual learning introduces an additional stability-plasticity trade-off under persistent change [24-30].</w:t>
      </w:r>
    </w:p>
    <w:p>
      <w:pPr>
        <w:spacing w:after="60" w:line="252" w:lineRule="auto" w:before="0"/>
        <w:ind/>
        <w:jc w:val="left"/>
        <w:widowControl/>
      </w:pPr>
      <w:r>
        <w:rPr>
          <w:rFonts w:ascii="Times New Roman" w:hAnsi="Times New Roman" w:eastAsia="Times New Roman" w:cs="Times New Roman"/>
          <w:b w:val="0"/>
          <w:i w:val="0"/>
          <w:color w:val="000000"/>
          <w:sz w:val="20"/>
        </w:rPr>
        <w:t>These research streams are often evaluated under different assumptions, data partitions, and metrics. This creates an integration gap: known-class fraud classification, unknown-event detection, temporal generalisation, institutional heterogeneity, and federated robustness are difficult to compare within one leakage-controlled and provenance-aware protocol. The present work addresses that gap as a methodological and reproducibility framework rather than as a completed claim of predictive superiority.</w:t>
      </w:r>
    </w:p>
    <w:p>
      <w:pPr>
        <w:spacing w:after="60" w:line="252" w:lineRule="auto" w:before="0"/>
        <w:ind/>
        <w:jc w:val="left"/>
        <w:widowControl/>
      </w:pPr>
      <w:r>
        <w:t>CausalFed-TGNN is designed to address this integration problem by combining heterogeneous temporal graph encoding, representation decomposition, independent novelty scoring, federated aggregation, drift-aware adaptation, and explicit provenance controls. The evidence currently available comprises data audits, corrected novelty diagnostics, and pooled logistic-regression reference models on synthetic streams. The proposed graph architecture, federated optimisation, adversarial robustness, public-data validation, and component ablations remain to be evaluated.</w:t>
      </w:r>
    </w:p>
    <w:p>
      <w:pPr>
        <w:spacing w:after="60" w:line="252" w:lineRule="auto" w:before="0"/>
        <w:ind/>
        <w:jc w:val="left"/>
        <w:widowControl/>
      </w:pPr>
      <w:r>
        <w:rPr>
          <w:rFonts w:ascii="Times New Roman" w:hAnsi="Times New Roman" w:eastAsia="Times New Roman" w:cs="Times New Roman"/>
          <w:b/>
          <w:i w:val="0"/>
          <w:color w:val="000000"/>
          <w:sz w:val="20"/>
        </w:rPr>
        <w:t>The contributions are therefore separated into proposed methodological components and completed reproducibility evidence:</w:t>
      </w:r>
    </w:p>
    <w:p>
      <w:pPr>
        <w:pStyle w:val="ListBullet"/>
        <w:spacing w:after="60" w:line="252" w:lineRule="auto" w:before="0"/>
        <w:ind w:left="312" w:hanging="142"/>
        <w:jc w:val="left"/>
        <w:widowControl/>
      </w:pPr>
      <w:r>
        <w:rPr>
          <w:rFonts w:ascii="Times New Roman" w:hAnsi="Times New Roman" w:eastAsia="Times New Roman" w:cs="Times New Roman"/>
          <w:b w:val="0"/>
          <w:i w:val="0"/>
          <w:color w:val="000000"/>
          <w:sz w:val="20"/>
        </w:rPr>
        <w:t>A heterogeneous temporal graph formulation that represents transactions jointly with customer/account, merchant, device, and location entities and augments event order with explicit elapsed-time features.</w:t>
      </w:r>
    </w:p>
    <w:p>
      <w:pPr>
        <w:pStyle w:val="ListBullet"/>
        <w:spacing w:after="60" w:line="252" w:lineRule="auto" w:before="0"/>
        <w:ind w:left="312" w:hanging="142"/>
        <w:jc w:val="left"/>
        <w:widowControl/>
      </w:pPr>
      <w:r>
        <w:rPr>
          <w:rFonts w:ascii="Times New Roman" w:hAnsi="Times New Roman" w:eastAsia="Times New Roman" w:cs="Times New Roman"/>
          <w:b w:val="0"/>
          <w:i w:val="0"/>
          <w:color w:val="000000"/>
          <w:sz w:val="20"/>
        </w:rPr>
        <w:t>An invariant/environment-specific representation decomposition with IRM-inspired multi-environment regularisation, intended to separate cross-institution predictive structure from institution-specific variation; its utility is reserved for empirical ablation testing.</w:t>
      </w:r>
    </w:p>
    <w:p>
      <w:pPr>
        <w:pStyle w:val="ListBullet"/>
        <w:spacing w:after="60" w:line="252" w:lineRule="auto" w:before="0"/>
        <w:ind w:left="312" w:hanging="142"/>
        <w:jc w:val="left"/>
        <w:widowControl/>
      </w:pPr>
      <w:r>
        <w:rPr>
          <w:rFonts w:ascii="Times New Roman" w:hAnsi="Times New Roman" w:eastAsia="Times New Roman" w:cs="Times New Roman"/>
          <w:b w:val="0"/>
          <w:i w:val="0"/>
          <w:color w:val="000000"/>
          <w:sz w:val="20"/>
        </w:rPr>
        <w:t>A separate open-set recognition layer that evaluates energy, maximum-logit-margin, and prototype-distance novelty scores under validation-only threshold calibration, thereby keeping novelty detection distinct from the known-class fraud decision.</w:t>
      </w:r>
    </w:p>
    <w:p>
      <w:pPr>
        <w:pStyle w:val="ListBullet"/>
        <w:spacing w:after="60" w:line="252" w:lineRule="auto" w:before="0"/>
        <w:ind w:left="312" w:hanging="142"/>
        <w:jc w:val="left"/>
        <w:widowControl/>
      </w:pPr>
      <w:r>
        <w:rPr>
          <w:rFonts w:ascii="Times New Roman" w:hAnsi="Times New Roman" w:eastAsia="Times New Roman" w:cs="Times New Roman"/>
          <w:b w:val="0"/>
          <w:i w:val="0"/>
          <w:color w:val="000000"/>
          <w:sz w:val="20"/>
        </w:rPr>
        <w:t>A federated stress-test protocol covering non-IID clients, label flipping, backdoor updates, Sybil/collusion behaviour, temporal drift, continual adaptation, calibration, and explanation sensitivity under matched experimental conditions.</w:t>
      </w:r>
    </w:p>
    <w:p>
      <w:pPr>
        <w:pStyle w:val="ListBullet"/>
        <w:spacing w:after="60" w:line="252" w:lineRule="auto" w:before="0"/>
        <w:ind w:left="312" w:hanging="142"/>
        <w:jc w:val="left"/>
        <w:widowControl/>
      </w:pPr>
      <w:r>
        <w:t>An executed reproducibility baseline comprising hash-verified synthetic datasets, explicit temporal partitions, 30 pooled logistic-regression fits across 15 streams, corrected novelty diagnostics, and traceable result tables and figures.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2. Related Work</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2.1 Financial fraud detection</w:t>
      </w:r>
    </w:p>
    <w:p>
      <w:pPr>
        <w:spacing w:after="60" w:line="252" w:lineRule="auto" w:before="0"/>
        <w:ind/>
        <w:jc w:val="left"/>
        <w:widowControl/>
      </w:pPr>
      <w:r>
        <w:rPr>
          <w:rFonts w:ascii="Times New Roman" w:hAnsi="Times New Roman" w:eastAsia="Times New Roman" w:cs="Times New Roman"/>
          <w:b w:val="0"/>
          <w:i w:val="0"/>
          <w:color w:val="000000"/>
          <w:sz w:val="20"/>
        </w:rPr>
        <w:t>Financial fraud detection combines rare-event classification, delayed feedback, non-stationary behaviour, and asymmetric operational costs. Classical and sequential approaches have therefore emphasised class imbalance, temporal evaluation, and practitioner-oriented error analysis [1-5]. These studies motivate precision-recall measures, temporal holdouts, and explicit operating thresholds rather than overall accuracy as the principal measure of deployment quality.</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2.2 Graph-based fraud detection</w:t>
      </w:r>
    </w:p>
    <w:p>
      <w:pPr>
        <w:spacing w:after="60" w:line="252" w:lineRule="auto" w:before="0"/>
        <w:ind/>
        <w:jc w:val="left"/>
        <w:widowControl/>
      </w:pPr>
      <w:r>
        <w:rPr>
          <w:rFonts w:ascii="Times New Roman" w:hAnsi="Times New Roman" w:eastAsia="Times New Roman" w:cs="Times New Roman"/>
          <w:b w:val="0"/>
          <w:i w:val="0"/>
          <w:color w:val="000000"/>
          <w:sz w:val="20"/>
        </w:rPr>
        <w:t>Graph-based fraud detectors model interactions among accounts, users, transactions, devices, and counterparties, enabling neighborhood information to complement transaction-level features [6-12]. Heterogeneous graph methods can preserve relation semantics rather than forcing all edges into a single interaction type [6,10,11]. These models motivate the relation-aware backbone used here, but graph structure alone does not address temporal holdout design, institution-level non-IID variation, or unknown fraud mechanisms.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2.3 Temporal and dynamic graph learning</w:t>
      </w:r>
    </w:p>
    <w:p>
      <w:pPr>
        <w:spacing w:after="60" w:line="252" w:lineRule="auto" w:before="0"/>
        <w:ind/>
        <w:jc w:val="left"/>
        <w:widowControl/>
      </w:pPr>
      <w:r>
        <w:rPr>
          <w:rFonts w:ascii="Times New Roman" w:hAnsi="Times New Roman" w:eastAsia="Times New Roman" w:cs="Times New Roman"/>
          <w:b w:val="0"/>
          <w:i w:val="0"/>
          <w:color w:val="000000"/>
          <w:sz w:val="20"/>
        </w:rPr>
        <w:t>Dynamic and temporal graph learning models evolving connectivity and time-dependent interactions [13]. In fraud detection, elapsed time, event recency, and changing neighbourhoods can encode behaviour that is not recoverable from a static graph. The present framework therefore combines typed graph structure with explicit elapsed-time features and temporal evaluation, while requiring strict prevention of future-information leakage when histories and features are constructed.</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2.4 Federated learning under non-IID institutional data</w:t>
      </w:r>
    </w:p>
    <w:p>
      <w:pPr>
        <w:spacing w:after="60" w:line="252" w:lineRule="auto" w:before="0"/>
        <w:ind/>
        <w:jc w:val="left"/>
        <w:widowControl/>
      </w:pPr>
      <w:r>
        <w:rPr>
          <w:rFonts w:ascii="Times New Roman" w:hAnsi="Times New Roman" w:eastAsia="Times New Roman" w:cs="Times New Roman"/>
          <w:b w:val="0"/>
          <w:i w:val="0"/>
          <w:color w:val="000000"/>
          <w:sz w:val="20"/>
        </w:rPr>
        <w:t>Federated learning coordinates distributed optimisation while raw records remain local to participating clients [14-19,42-44]. This architecture is relevant to cross-institution modelling, but non-IID client data can affect convergence and client contribution, and model updates can leak information in the absence of additional protection [20-22]. Optimisation methods such as FedProx and SCAFFOLD, adaptive aggregation, robust aggregation, privacy mechanisms, and security controls address different failure modes and should therefore not be described interchangeably.</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2.5 Domain generalization and invariant representation learning</w:t>
      </w:r>
    </w:p>
    <w:p>
      <w:pPr>
        <w:spacing w:after="60" w:line="252" w:lineRule="auto" w:before="0"/>
        <w:ind/>
        <w:jc w:val="left"/>
        <w:widowControl/>
      </w:pPr>
      <w:r>
        <w:rPr>
          <w:rFonts w:ascii="Times New Roman" w:hAnsi="Times New Roman" w:eastAsia="Times New Roman" w:cs="Times New Roman"/>
          <w:b w:val="0"/>
          <w:i w:val="0"/>
          <w:color w:val="000000"/>
          <w:sz w:val="20"/>
        </w:rPr>
        <w:t>Domain generalisation seeks representations that preserve predictive structure across environments with changing nuisance factors [31,49]. Here, invariant representation learning is used in that predictive sense: an IRM-inspired multi-environment penalty encourages a shared branch to retain fraud-relevant information, while an environment-specific branch can absorb institution-dependent variation. This design does not establish causal invariance; its value must be demonstrated through cross-environment evaluation and targeted ablation.</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2.6 Open-set and out-of-distribution recognition</w:t>
      </w:r>
    </w:p>
    <w:p>
      <w:pPr>
        <w:spacing w:after="60" w:line="252" w:lineRule="auto" w:before="0"/>
        <w:ind/>
        <w:jc w:val="left"/>
        <w:widowControl/>
      </w:pPr>
      <w:r>
        <w:rPr>
          <w:rFonts w:ascii="Times New Roman" w:hAnsi="Times New Roman" w:eastAsia="Times New Roman" w:cs="Times New Roman"/>
          <w:b w:val="0"/>
          <w:i w:val="0"/>
          <w:color w:val="000000"/>
          <w:sz w:val="20"/>
        </w:rPr>
        <w:t>Open-set recognition and OOD detection identify samples that are poorly explained by the closed training label set [32-35,56-58]. In fraud screening, an unseen mechanism should not be forced into a known fraud subtype solely through the closed-set classifier. The present protocol therefore calibrates novelty independently of the fraud-decision threshold and excludes the held-out unknown mechanism from novelty-threshold selection.</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2.7 Continual learning and concept drift</w:t>
      </w:r>
    </w:p>
    <w:p>
      <w:pPr>
        <w:spacing w:after="60" w:line="252" w:lineRule="auto" w:before="0"/>
        <w:ind/>
        <w:jc w:val="left"/>
        <w:widowControl/>
      </w:pPr>
      <w:r>
        <w:rPr>
          <w:rFonts w:ascii="Times New Roman" w:hAnsi="Times New Roman" w:eastAsia="Times New Roman" w:cs="Times New Roman"/>
          <w:b w:val="0"/>
          <w:i w:val="0"/>
          <w:color w:val="000000"/>
          <w:sz w:val="20"/>
        </w:rPr>
        <w:t>Continual-learning and concept-drift methods address changes in the data-generating process after deployment [24-30]. Replay and stability regularisation can reduce forgetting, but adaptation can also reinforce noisy or adversarial observations. CausalFed-TGNN therefore treats drift detection, replay, and adaptation as separately ablatable components with pre-specified triggers and evaluation windows.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2.8 Robust/adversarial federated learning and explainable decision support</w:t>
      </w:r>
    </w:p>
    <w:p>
      <w:pPr>
        <w:spacing w:after="60" w:line="252" w:lineRule="auto" w:before="0"/>
        <w:ind/>
        <w:jc w:val="left"/>
        <w:widowControl/>
      </w:pPr>
      <w:r>
        <w:rPr>
          <w:rFonts w:ascii="Times New Roman" w:hAnsi="Times New Roman" w:eastAsia="Times New Roman" w:cs="Times New Roman"/>
          <w:b w:val="0"/>
          <w:i w:val="0"/>
          <w:color w:val="000000"/>
          <w:sz w:val="20"/>
        </w:rPr>
        <w:t>Federated systems are vulnerable to data poisoning, label manipulation, malicious updates, and coordinated clients; robust aggregation can mitigate some attack effects but does not provide privacy or a universal security guarantee [20-23,45,46]. In parallel, high-stakes fraud screening benefits from calibrated uncertainty and decision-support explanations such as feature attribution, graph-substructure explanation, and counterfactual analysis [36-41,47,48,53,55,56]. The framework therefore treats robustness, privacy, security, uncertainty, and explainability as distinct evaluation dimensions.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2.9 Research gap</w:t>
      </w:r>
    </w:p>
    <w:p>
      <w:pPr>
        <w:spacing w:after="60" w:line="252" w:lineRule="auto" w:before="0"/>
        <w:ind/>
        <w:jc w:val="left"/>
        <w:widowControl/>
      </w:pPr>
      <w:r>
        <w:t>The literature provides mature components for graph fraud detection, temporal modelling, federated optimisation, invariant learning, OOD detection, continual learning, robustness, and explainability. The contribution of CausalFed-TGNN is not that each component is new in isolation, but that they are organised under a common leakage-controlled evaluation contract with explicit claim boundaries and provenance. The completed synthetic baselines provide an auditable comparator and expose protocol limitations; they do not demonstrate the integrated graph model or establish superiority.</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3. Problem Formulation and Claim Boundary</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3.1 Federated heterogeneous temporal graph</w:t>
      </w:r>
    </w:p>
    <w:p>
      <w:pPr>
        <w:spacing w:after="60" w:line="252" w:lineRule="auto" w:before="0"/>
        <w:ind/>
        <w:jc w:val="left"/>
        <w:widowControl/>
      </w:pPr>
      <w:r>
        <w:rPr>
          <w:rFonts w:ascii="Times New Roman" w:hAnsi="Times New Roman" w:eastAsia="Times New Roman" w:cs="Times New Roman"/>
          <w:b w:val="0"/>
          <w:i w:val="0"/>
          <w:color w:val="000000"/>
          <w:sz w:val="20"/>
        </w:rPr>
        <w:t>Let the B participating institutions be indexed by b = 1, …, B. At time t, client b constructs a heterogeneous temporal graph from its local transaction stream. The graph contains typed customer/account, transaction, device, merchant, and location nodes; typed forward and reverse relations; and observed node, edge, and temporal attributes. The institution defines the client boundary: raw records remain local, whereas only model-update information is eligible for server exchange.</w:t>
      </w:r>
    </w:p>
    <w:p>
      <w:pPr>
        <w:spacing w:after="60" w:line="252" w:lineRule="auto" w:before="0"/>
        <w:ind/>
        <w:jc w:val="left"/>
        <w:widowControl/>
      </w:pPr>
      <w:r>
        <w:rPr>
          <w:rFonts w:ascii="Times New Roman" w:hAnsi="Times New Roman" w:eastAsia="Times New Roman" w:cs="Times New Roman"/>
          <w:b w:val="0"/>
          <w:i w:val="0"/>
          <w:color w:val="000000"/>
          <w:sz w:val="20"/>
        </w:rPr>
        <w:t>For each transaction, the heterogeneous temporal encoder produces a d-dimensional representation from its typed neighbourhood, attributes, and recent event history. A decomposition module then maps this representation into invariant and environment-specific components. The invariant branch is intended to preserve fraud-relevant structure shared across environments, whereas the environment-specific branch is intended to represent institution-dependent nuisance variation. These roles are architectural hypotheses and require empirical verification through targeted ablations.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3.2 Separate known-class and unknown-event decisions</w:t>
      </w:r>
    </w:p>
    <w:p>
      <w:pPr>
        <w:spacing w:after="60" w:line="252" w:lineRule="auto" w:before="0"/>
        <w:ind/>
        <w:jc w:val="left"/>
        <w:widowControl/>
      </w:pPr>
      <w:r>
        <w:rPr>
          <w:rFonts w:ascii="Times New Roman" w:hAnsi="Times New Roman" w:eastAsia="Times New Roman" w:cs="Times New Roman"/>
          <w:b w:val="0"/>
          <w:i w:val="0"/>
          <w:color w:val="000000"/>
          <w:sz w:val="20"/>
        </w:rPr>
        <w:t>For the binary known-class task, the prediction head produces logits ℓ₀ and ℓ₁ for legitimate and fraud outcomes. The fraud probability is computed from their logit difference (Equation 1). Unknown-event detection is evaluated separately through a novelty score s(x) (Equation 2); a novelty score is not interpreted as a fraud probability.</w:t>
      </w:r>
    </w:p>
    <w:tbl>
      <w:tblPr>
        <w:tblStyle w:val="TableGrid"/>
        <w:tblW w:type="pct" w:w="5000"/>
        <w:jc w:val="center"/>
        <w:tblLayout w:type="autofit"/>
        <w:tblLook w:firstColumn="1" w:firstRow="1" w:lastColumn="0" w:lastRow="0" w:noHBand="0" w:noVBand="1" w:val="04A0"/>
      </w:tblPr>
      <w:tblGrid>
        <w:gridCol w:w="8352"/>
        <w:gridCol w:w="792"/>
      </w:tblGrid>
      <w:tr>
        <w:trPr>
          <w:tblHeader w:val="true"/>
          <w:cantSplit/>
        </w:trPr>
        <w:tc>
          <w:tcPr>
            <w:tcW w:type="dxa" w:w="4819"/>
            <w:tcBorders>
              <w:top w:val="nil"/>
              <w:left w:val="nil"/>
              <w:bottom w:val="nil"/>
              <w:right w:val="nil"/>
            </w:tcBorders>
            <w:vAlign w:val="center"/>
            <w:tcMar>
              <w:top w:w="40" w:type="dxa"/>
              <w:start w:w="60" w:type="dxa"/>
              <w:bottom w:w="40" w:type="dxa"/>
              <w:end w:w="60" w:type="dxa"/>
            </w:tcMar>
          </w:tcPr>
          <w:p>
            <w:r>
              <w:rPr>
                <w:rFonts w:ascii="Times New Roman" w:hAnsi="Times New Roman" w:eastAsia="Times New Roman"/>
                <w:sz w:val="20"/>
              </w:rPr>
              <w:t>p(fraud) = σ(ℓ₁ − ℓ₀)</w:t>
            </w:r>
          </w:p>
        </w:tc>
        <w:tc>
          <w:tcPr>
            <w:tcW w:type="dxa" w:w="4819"/>
            <w:tcBorders>
              <w:top w:val="nil"/>
              <w:left w:val="nil"/>
              <w:bottom w:val="nil"/>
              <w:right w:val="nil"/>
            </w:tcBorders>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(1)</w:t>
            </w:r>
          </w:p>
        </w:tc>
      </w:tr>
    </w:tbl>
    <w:tbl>
      <w:tblPr>
        <w:tblStyle w:val="TableGrid"/>
        <w:tblW w:type="pct" w:w="5000"/>
        <w:jc w:val="center"/>
        <w:tblLayout w:type="autofit"/>
        <w:tblLook w:firstColumn="1" w:firstRow="1" w:lastColumn="0" w:lastRow="0" w:noHBand="0" w:noVBand="1" w:val="04A0"/>
      </w:tblPr>
      <w:tblGrid>
        <w:gridCol w:w="8352"/>
        <w:gridCol w:w="792"/>
      </w:tblGrid>
      <w:tr>
        <w:trPr>
          <w:tblHeader w:val="true"/>
          <w:cantSplit/>
        </w:trPr>
        <w:tc>
          <w:tcPr>
            <w:tcW w:type="dxa" w:w="4819"/>
            <w:tcBorders>
              <w:top w:val="nil"/>
              <w:left w:val="nil"/>
              <w:bottom w:val="nil"/>
              <w:right w:val="nil"/>
            </w:tcBorders>
            <w:vAlign w:val="center"/>
            <w:tcMar>
              <w:top w:w="40" w:type="dxa"/>
              <w:start w:w="60" w:type="dxa"/>
              <w:bottom w:w="40" w:type="dxa"/>
              <w:end w:w="60" w:type="dxa"/>
            </w:tcMar>
          </w:tcPr>
          <w:p>
            <w:r>
              <w:rPr>
                <w:rFonts w:ascii="Times New Roman" w:hAnsi="Times New Roman" w:eastAsia="Times New Roman"/>
                <w:sz w:val="20"/>
              </w:rPr>
              <w:t>E(x) = −log Σₖ exp(ℓₖ),     s(x) ∈ {energy, margin, prototype distance}</w:t>
            </w:r>
          </w:p>
        </w:tc>
        <w:tc>
          <w:tcPr>
            <w:tcW w:type="dxa" w:w="4819"/>
            <w:tcBorders>
              <w:top w:val="nil"/>
              <w:left w:val="nil"/>
              <w:bottom w:val="nil"/>
              <w:right w:val="nil"/>
            </w:tcBorders>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(2)</w:t>
            </w:r>
          </w:p>
        </w:tc>
      </w:tr>
    </w:tbl>
    <w:p>
      <w:pPr>
        <w:spacing w:after="60" w:line="252" w:lineRule="auto" w:before="0"/>
        <w:ind/>
        <w:jc w:val="left"/>
        <w:widowControl/>
      </w:pPr>
      <w:r>
        <w:rPr>
          <w:rFonts w:ascii="Times New Roman" w:hAnsi="Times New Roman" w:eastAsia="Times New Roman" w:cs="Times New Roman"/>
          <w:b w:val="0"/>
          <w:i w:val="0"/>
          <w:color w:val="000000"/>
          <w:sz w:val="20"/>
        </w:rPr>
        <w:t>Novelty thresholds are selected using validation data that exclude the held-out unknown mechanism used for final open-set testing. Score direction, calibration population, and operating-point selection must be fixed before test evaluation. This prevents threshold leakage and preserves the distinction between known-class classification error and unknown-event detection error.</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3.3 Scientific claim boundary</w:t>
      </w:r>
    </w:p>
    <w:p>
      <w:pPr>
        <w:spacing w:after="60" w:line="252" w:lineRule="auto" w:before="0"/>
        <w:ind/>
        <w:jc w:val="left"/>
        <w:widowControl/>
      </w:pPr>
      <w:r>
        <w:rPr>
          <w:rFonts w:ascii="Times New Roman" w:hAnsi="Times New Roman" w:eastAsia="Times New Roman" w:cs="Times New Roman"/>
          <w:b w:val="0"/>
          <w:i w:val="0"/>
          <w:color w:val="000000"/>
          <w:sz w:val="20"/>
        </w:rPr>
        <w:t>CausalFed-TGNN is a predictive representation-learning framework. The historical term “Causal” in the project name does not imply causal discovery, intervention modelling, causal-effect identification, or a formal guarantee of causal invariance. Likewise, federated parameter exchange is not equivalent to differential privacy or secure aggregation, and robust aggregation is an operational robustness mechanism rather than a privacy mechanism. Explanation outputs describe model behaviour and must not be interpreted as causal explanations.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4. Proposed CausalFed-TGNN Framework</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4.1 System overview</w:t>
      </w:r>
    </w:p>
    <w:p>
      <w:pPr>
        <w:spacing w:after="60" w:line="252" w:lineRule="auto" w:before="0"/>
        <w:ind/>
        <w:jc w:val="left"/>
        <w:widowControl/>
      </w:pPr>
      <w:r>
        <w:rPr>
          <w:rFonts w:ascii="Times New Roman" w:hAnsi="Times New Roman" w:eastAsia="Times New Roman" w:cs="Times New Roman"/>
          <w:b w:val="0"/>
          <w:i w:val="0"/>
          <w:color w:val="000000"/>
          <w:sz w:val="20"/>
        </w:rPr>
        <w:t>The architecture is organised into three layers: (i) client-local transaction processing and heterogeneous temporal graph construction; (ii) representation learning, known-class prediction, open-set recognition, and drift-aware adaptation; and (iii) federated coordination with auditable risk output. Figure 1 summarises the conceptual information flow and should be interpreted as an architecture diagram rather than an empirical result.</w:t>
      </w:r>
    </w:p>
    <w:p>
      <w:pPr>
        <w:keepNext/>
        <w:spacing w:before="60" w:after="40"/>
        <w:jc w:val="center"/>
        <w:widowControl/>
      </w:pPr>
      <w:r>
        <w:drawing>
          <wp:inline xmlns:a="http://schemas.openxmlformats.org/drawingml/2006/main" xmlns:pic="http://schemas.openxmlformats.org/drawingml/2006/picture">
            <wp:extent cx="5669280" cy="3779520"/>
            <wp:docPr id="1" name="Picture 1" descr="Figure 1. Conceptual architecture of CausalFed-TGNN. Client-local multi-entity transactions are converted to heterogeneous temporal graphs; learned representations are decomposed into invariant and environment-specific components; federated coordination supports known-class prediction, open-set scoring, adaptation, and explanation output. The figure is illustrative and does not report measured performance." title="Figure 1"/>
            <wp:cNvGraphicFramePr>
              <a:graphicFrameLocks noChangeAspect="1"/>
            </wp:cNvGraphicFramePr>
            <a:graphic>
              <a:graphicData uri="http://schemas.openxmlformats.org/drawingml/2006/picture">
                <pic:pic>
                  <pic:nvPicPr>
                    <pic:cNvPr id="0" name="d426e68c5b77e6b4c56c5921eb0af2c2ddf2321b.jpg"/>
                    <pic:cNvPicPr/>
                  </pic:nvPicPr>
                  <pic:blipFill>
                    <a:blip r:embed="rId11"/>
                    <a:stretch>
                      <a:fillRect/>
                    </a:stretch>
                  </pic:blipFill>
                  <pic:spPr>
                    <a:xfrm>
                      <a:off x="0" y="0"/>
                      <a:ext cx="5669280" cy="377952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1</w:t>
      </w:r>
      <w:r>
        <w:rPr>
          <w:rFonts w:ascii="Times New Roman" w:hAnsi="Times New Roman" w:eastAsia="Times New Roman" w:cs="Times New Roman"/>
          <w:b w:val="0"/>
          <w:i w:val="0"/>
          <w:color w:val="000000"/>
          <w:sz w:val="18"/>
        </w:rPr>
        <w:t xml:space="preserve"> Conceptual architecture of CausalFed-TGNN. Client-local multi-entity transactions are converted to heterogeneous temporal graphs; learned representations are decomposed into invariant and environment-specific components; federated coordination supports known-class prediction, open-set scoring, adaptation, and explanation output. The figure is illustrative and does not report measured performance.</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4.2 Heterogeneous temporal graph construction</w:t>
      </w:r>
    </w:p>
    <w:p>
      <w:pPr>
        <w:spacing w:after="60" w:line="252" w:lineRule="auto" w:before="0"/>
        <w:ind/>
        <w:jc w:val="left"/>
        <w:widowControl/>
      </w:pPr>
      <w:r>
        <w:rPr>
          <w:rFonts w:ascii="Times New Roman" w:hAnsi="Times New Roman" w:eastAsia="Times New Roman" w:cs="Times New Roman"/>
          <w:b w:val="0"/>
          <w:i w:val="0"/>
          <w:color w:val="000000"/>
          <w:sz w:val="20"/>
        </w:rPr>
        <w:t>Each raw transaction is represented as a transaction node connected to typed entity nodes. Relations encode transaction initiation, account ownership, device usage, payment destination, and location occurrence; forward and reverse edge types are retained so that message passing can distinguish semantic direction. Timestamps, elapsed-time features, and recent-history context couple graph structure to event order while preserving the temporal split used for evaluation.</w:t>
      </w:r>
    </w:p>
    <w:p>
      <w:pPr>
        <w:keepNext/>
        <w:spacing w:before="60" w:after="40"/>
        <w:jc w:val="center"/>
        <w:widowControl/>
      </w:pPr>
      <w:r>
        <w:drawing>
          <wp:inline xmlns:a="http://schemas.openxmlformats.org/drawingml/2006/main" xmlns:pic="http://schemas.openxmlformats.org/drawingml/2006/picture">
            <wp:extent cx="5715000" cy="2857500"/>
            <wp:docPr id="2" name="Picture 2" descr="Figure 2. Conceptual heterogeneous temporal graph construction. A raw multi-entity transaction is mapped to typed nodes, directed relation types, and temporal context to form relation-aware graph snapshots. The diagram specifies representation structure and is not an experimental result." title="Figure 2"/>
            <wp:cNvGraphicFramePr>
              <a:graphicFrameLocks noChangeAspect="1"/>
            </wp:cNvGraphicFramePr>
            <a:graphic>
              <a:graphicData uri="http://schemas.openxmlformats.org/drawingml/2006/picture">
                <pic:pic>
                  <pic:nvPicPr>
                    <pic:cNvPr id="0" name="94b24fa4f8d1167808b37543fb813cfe6f93572b.jpg"/>
                    <pic:cNvPicPr/>
                  </pic:nvPicPr>
                  <pic:blipFill>
                    <a:blip r:embed="rId12"/>
                    <a:stretch>
                      <a:fillRect/>
                    </a:stretch>
                  </pic:blipFill>
                  <pic:spPr>
                    <a:xfrm>
                      <a:off x="0" y="0"/>
                      <a:ext cx="5715000" cy="285750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2</w:t>
      </w:r>
      <w:r>
        <w:rPr>
          <w:rFonts w:ascii="Times New Roman" w:hAnsi="Times New Roman" w:eastAsia="Times New Roman" w:cs="Times New Roman"/>
          <w:b w:val="0"/>
          <w:i w:val="0"/>
          <w:color w:val="000000"/>
          <w:sz w:val="18"/>
        </w:rPr>
        <w:t xml:space="preserve"> Conceptual heterogeneous temporal graph construction. A raw multi-entity transaction is mapped to typed nodes, directed relation types, and temporal context to form relation-aware graph snapshots. The diagram specifies representation structure and is not an experimental result.</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4.3 Temporal encoding and invariant representation decomposition</w:t>
      </w:r>
    </w:p>
    <w:p>
      <w:pPr>
        <w:spacing w:after="60" w:line="252" w:lineRule="auto" w:before="0"/>
        <w:ind/>
        <w:jc w:val="left"/>
        <w:widowControl/>
      </w:pPr>
      <w:r>
        <w:rPr>
          <w:rFonts w:ascii="Times New Roman" w:hAnsi="Times New Roman" w:eastAsia="Times New Roman" w:cs="Times New Roman"/>
          <w:b w:val="0"/>
          <w:i w:val="0"/>
          <w:color w:val="000000"/>
          <w:sz w:val="20"/>
        </w:rPr>
        <w:t>The temporal module augments event order with deterministic elapsed-time features so that the encoder can distinguish rapid activity bursts from long inactivity gaps even when event rank is similar. A heterogeneous graph transformer (HGT) supplies relation-aware node representations [6]. All temporal features must use only information available at or before the prediction timestamp; future events, post-outcome aggregates, and labels are excluded to prevent temporal leakage.</w:t>
      </w:r>
    </w:p>
    <w:p>
      <w:pPr>
        <w:spacing w:after="60" w:line="252" w:lineRule="auto" w:before="0"/>
        <w:ind/>
        <w:jc w:val="left"/>
        <w:widowControl/>
      </w:pPr>
      <w:r>
        <w:rPr>
          <w:rFonts w:ascii="Times New Roman" w:hAnsi="Times New Roman" w:eastAsia="Times New Roman" w:cs="Times New Roman"/>
          <w:b w:val="0"/>
          <w:i w:val="0"/>
          <w:color w:val="000000"/>
          <w:sz w:val="20"/>
        </w:rPr>
        <w:t>The representation-decomposition module separates the HGT output into invariant and environment-specific branches. Multi-environment batches provide the variation required for an invariant risk minimisation (IRM)-inspired regulariser; a cross-environment alignment term encourages shared fraud-relevant structure, while the environment-specific branch models institution-dependent variation. This is a predictive multi-environment design hypothesis and does not estimate interventions or causal effects.</w:t>
      </w:r>
    </w:p>
    <w:p>
      <w:pPr>
        <w:keepNext/>
        <w:spacing w:before="60" w:after="40"/>
        <w:jc w:val="center"/>
        <w:widowControl/>
      </w:pPr>
      <w:r>
        <w:drawing>
          <wp:inline xmlns:a="http://schemas.openxmlformats.org/drawingml/2006/main" xmlns:pic="http://schemas.openxmlformats.org/drawingml/2006/picture">
            <wp:extent cx="5715000" cy="2857500"/>
            <wp:docPr id="3" name="Picture 3" descr="Figure 3. Conceptual invariant/environment-specific representation decomposition. HGT representations are separated into shared and institution-specific components and optimized with supervised and multi-environment objectives. The intended separation must be validated empirically by ablation." title="Figure 3"/>
            <wp:cNvGraphicFramePr>
              <a:graphicFrameLocks noChangeAspect="1"/>
            </wp:cNvGraphicFramePr>
            <a:graphic>
              <a:graphicData uri="http://schemas.openxmlformats.org/drawingml/2006/picture">
                <pic:pic>
                  <pic:nvPicPr>
                    <pic:cNvPr id="0" name="12316978678060317e47773876ad07ae231d71f1.jpg"/>
                    <pic:cNvPicPr/>
                  </pic:nvPicPr>
                  <pic:blipFill>
                    <a:blip r:embed="rId13"/>
                    <a:stretch>
                      <a:fillRect/>
                    </a:stretch>
                  </pic:blipFill>
                  <pic:spPr>
                    <a:xfrm>
                      <a:off x="0" y="0"/>
                      <a:ext cx="5715000" cy="285750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3</w:t>
      </w:r>
      <w:r>
        <w:rPr>
          <w:rFonts w:ascii="Times New Roman" w:hAnsi="Times New Roman" w:eastAsia="Times New Roman" w:cs="Times New Roman"/>
          <w:b w:val="0"/>
          <w:i w:val="0"/>
          <w:color w:val="000000"/>
          <w:sz w:val="18"/>
        </w:rPr>
        <w:t xml:space="preserve"> Conceptual invariant/environment-specific representation decomposition. HGT representations are separated into shared and institution-specific components and optimized with supervised and multi-environment objectives. The intended separation must be validated empirically by ablation.</w:t>
      </w:r>
    </w:p>
    <w:p>
      <w:pPr>
        <w:spacing w:after="60" w:line="252" w:lineRule="auto" w:before="0"/>
        <w:ind/>
        <w:jc w:val="left"/>
        <w:widowControl/>
      </w:pPr>
      <w:r>
        <w:rPr>
          <w:rFonts w:ascii="Times New Roman" w:hAnsi="Times New Roman" w:eastAsia="Times New Roman" w:cs="Times New Roman"/>
          <w:b w:val="0"/>
          <w:i w:val="0"/>
          <w:color w:val="000000"/>
          <w:sz w:val="20"/>
        </w:rPr>
        <w:t>The training objective combines supervised classification, multi-environment invariance, cross-environment representation alignment, replay, and an optional Kullback-Leibler (KL) stability term (Equation 3). The corresponding λ coefficients are hyperparameters. Inactive terms must be reported as zero, and all loss weights must be selected using training/validation information only, never by optimising on the held-out unknown test mechanism.</w:t>
      </w:r>
    </w:p>
    <w:tbl>
      <w:tblPr>
        <w:tblStyle w:val="TableGrid"/>
        <w:tblW w:type="pct" w:w="5000"/>
        <w:jc w:val="center"/>
        <w:tblLayout w:type="autofit"/>
        <w:tblLook w:firstColumn="1" w:firstRow="1" w:lastColumn="0" w:lastRow="0" w:noHBand="0" w:noVBand="1" w:val="04A0"/>
      </w:tblPr>
      <w:tblGrid>
        <w:gridCol w:w="8352"/>
        <w:gridCol w:w="792"/>
      </w:tblGrid>
      <w:tr>
        <w:trPr>
          <w:tblHeader w:val="true"/>
          <w:cantSplit/>
        </w:trPr>
        <w:tc>
          <w:tcPr>
            <w:tcW w:type="dxa" w:w="4819"/>
            <w:tcBorders>
              <w:top w:val="nil"/>
              <w:left w:val="nil"/>
              <w:bottom w:val="nil"/>
              <w:right w:val="nil"/>
            </w:tcBorders>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L = L</w:t>
            </w:r>
            <w:r>
              <w:rPr>
                <w:rFonts w:ascii="Times New Roman" w:hAnsi="Times New Roman" w:eastAsia="Times New Roman" w:cs="Times New Roman"/>
                <w:b/>
                <w:color w:val="000000"/>
                <w:sz w:val="18"/>
                <w:vertAlign w:val="subscript"/>
              </w:rPr>
              <w:t>sup</w:t>
            </w:r>
            <w:r>
              <w:rPr>
                <w:rFonts w:ascii="Times New Roman" w:hAnsi="Times New Roman" w:eastAsia="Times New Roman" w:cs="Times New Roman"/>
                <w:b/>
                <w:color w:val="000000"/>
                <w:sz w:val="18"/>
              </w:rPr>
              <w:t xml:space="preserve"> + λ</w:t>
            </w:r>
            <w:r>
              <w:rPr>
                <w:rFonts w:ascii="Times New Roman" w:hAnsi="Times New Roman" w:eastAsia="Times New Roman" w:cs="Times New Roman"/>
                <w:b/>
                <w:color w:val="000000"/>
                <w:sz w:val="18"/>
                <w:vertAlign w:val="subscript"/>
              </w:rPr>
              <w:t>inv</w:t>
            </w:r>
            <w:r>
              <w:rPr>
                <w:rFonts w:ascii="Times New Roman" w:hAnsi="Times New Roman" w:eastAsia="Times New Roman" w:cs="Times New Roman"/>
                <w:b/>
                <w:color w:val="000000"/>
                <w:sz w:val="18"/>
              </w:rPr>
              <w:t xml:space="preserve"> L</w:t>
            </w:r>
            <w:r>
              <w:rPr>
                <w:rFonts w:ascii="Times New Roman" w:hAnsi="Times New Roman" w:eastAsia="Times New Roman" w:cs="Times New Roman"/>
                <w:b/>
                <w:color w:val="000000"/>
                <w:sz w:val="18"/>
                <w:vertAlign w:val="subscript"/>
              </w:rPr>
              <w:t>inv</w:t>
            </w:r>
            <w:r>
              <w:rPr>
                <w:rFonts w:ascii="Times New Roman" w:hAnsi="Times New Roman" w:eastAsia="Times New Roman" w:cs="Times New Roman"/>
                <w:b/>
                <w:color w:val="000000"/>
                <w:sz w:val="18"/>
              </w:rPr>
              <w:t xml:space="preserve"> + λ</w:t>
            </w:r>
            <w:r>
              <w:rPr>
                <w:rFonts w:ascii="Times New Roman" w:hAnsi="Times New Roman" w:eastAsia="Times New Roman" w:cs="Times New Roman"/>
                <w:b/>
                <w:color w:val="000000"/>
                <w:sz w:val="18"/>
                <w:vertAlign w:val="subscript"/>
              </w:rPr>
              <w:t>con</w:t>
            </w:r>
            <w:r>
              <w:rPr>
                <w:rFonts w:ascii="Times New Roman" w:hAnsi="Times New Roman" w:eastAsia="Times New Roman" w:cs="Times New Roman"/>
                <w:b/>
                <w:color w:val="000000"/>
                <w:sz w:val="18"/>
              </w:rPr>
              <w:t xml:space="preserve"> L</w:t>
            </w:r>
            <w:r>
              <w:rPr>
                <w:rFonts w:ascii="Times New Roman" w:hAnsi="Times New Roman" w:eastAsia="Times New Roman" w:cs="Times New Roman"/>
                <w:b/>
                <w:color w:val="000000"/>
                <w:sz w:val="18"/>
                <w:vertAlign w:val="subscript"/>
              </w:rPr>
              <w:t>con</w:t>
            </w:r>
            <w:r>
              <w:rPr>
                <w:rFonts w:ascii="Times New Roman" w:hAnsi="Times New Roman" w:eastAsia="Times New Roman" w:cs="Times New Roman"/>
                <w:b/>
                <w:color w:val="000000"/>
                <w:sz w:val="18"/>
              </w:rPr>
              <w:t xml:space="preserve"> + λ</w:t>
            </w:r>
            <w:r>
              <w:rPr>
                <w:rFonts w:ascii="Times New Roman" w:hAnsi="Times New Roman" w:eastAsia="Times New Roman" w:cs="Times New Roman"/>
                <w:b/>
                <w:color w:val="000000"/>
                <w:sz w:val="18"/>
                <w:vertAlign w:val="subscript"/>
              </w:rPr>
              <w:t>replay</w:t>
            </w:r>
            <w:r>
              <w:rPr>
                <w:rFonts w:ascii="Times New Roman" w:hAnsi="Times New Roman" w:eastAsia="Times New Roman" w:cs="Times New Roman"/>
                <w:b/>
                <w:color w:val="000000"/>
                <w:sz w:val="18"/>
              </w:rPr>
              <w:t xml:space="preserve"> L</w:t>
            </w:r>
            <w:r>
              <w:rPr>
                <w:rFonts w:ascii="Times New Roman" w:hAnsi="Times New Roman" w:eastAsia="Times New Roman" w:cs="Times New Roman"/>
                <w:b/>
                <w:color w:val="000000"/>
                <w:sz w:val="18"/>
                <w:vertAlign w:val="subscript"/>
              </w:rPr>
              <w:t>replay</w:t>
            </w:r>
            <w:r>
              <w:rPr>
                <w:rFonts w:ascii="Times New Roman" w:hAnsi="Times New Roman" w:eastAsia="Times New Roman" w:cs="Times New Roman"/>
                <w:b/>
                <w:color w:val="000000"/>
                <w:sz w:val="18"/>
              </w:rPr>
              <w:t xml:space="preserve"> + λ</w:t>
            </w:r>
            <w:r>
              <w:rPr>
                <w:rFonts w:ascii="Times New Roman" w:hAnsi="Times New Roman" w:eastAsia="Times New Roman" w:cs="Times New Roman"/>
                <w:b/>
                <w:color w:val="000000"/>
                <w:sz w:val="18"/>
                <w:vertAlign w:val="subscript"/>
              </w:rPr>
              <w:t>KL</w:t>
            </w:r>
            <w:r>
              <w:rPr>
                <w:rFonts w:ascii="Times New Roman" w:hAnsi="Times New Roman" w:eastAsia="Times New Roman" w:cs="Times New Roman"/>
                <w:b/>
                <w:color w:val="000000"/>
                <w:sz w:val="18"/>
              </w:rPr>
              <w:t xml:space="preserve"> L</w:t>
            </w:r>
            <w:r>
              <w:rPr>
                <w:rFonts w:ascii="Times New Roman" w:hAnsi="Times New Roman" w:eastAsia="Times New Roman" w:cs="Times New Roman"/>
                <w:b/>
                <w:color w:val="000000"/>
                <w:sz w:val="18"/>
                <w:vertAlign w:val="subscript"/>
              </w:rPr>
              <w:t>KL</w:t>
            </w:r>
          </w:p>
        </w:tc>
        <w:tc>
          <w:tcPr>
            <w:tcW w:type="dxa" w:w="4819"/>
            <w:tcBorders>
              <w:top w:val="nil"/>
              <w:left w:val="nil"/>
              <w:bottom w:val="nil"/>
              <w:right w:val="nil"/>
            </w:tcBorders>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(3)</w:t>
            </w:r>
          </w:p>
        </w:tc>
      </w:tr>
    </w:tbl>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4.4 Open-set recognition</w:t>
      </w:r>
    </w:p>
    <w:p>
      <w:pPr>
        <w:spacing w:after="60" w:line="252" w:lineRule="auto" w:before="0"/>
        <w:ind/>
        <w:jc w:val="left"/>
        <w:widowControl/>
      </w:pPr>
      <w:r>
        <w:rPr>
          <w:rFonts w:ascii="Times New Roman" w:hAnsi="Times New Roman" w:eastAsia="Times New Roman" w:cs="Times New Roman"/>
          <w:b w:val="0"/>
          <w:i w:val="0"/>
          <w:color w:val="000000"/>
          <w:sz w:val="20"/>
        </w:rPr>
        <w:t>Energy scoring is retained as the primary logit-based novelty baseline because it is directly computable from classifier outputs. The protocol additionally evaluates maximum-logit margin and prototype distance in representation space. For every score, the implementation must specify score direction, normalisation (if any), prototype construction, and the validation-only threshold rule. Open-set reporting includes both ranking and operating-point metrics because apparently high unknown accuracy can be driven by class imbalance.</w:t>
      </w:r>
    </w:p>
    <w:p>
      <w:pPr>
        <w:keepNext/>
        <w:spacing w:before="60" w:after="40"/>
        <w:jc w:val="center"/>
        <w:widowControl/>
      </w:pPr>
      <w:r>
        <w:drawing>
          <wp:inline xmlns:a="http://schemas.openxmlformats.org/drawingml/2006/main" xmlns:pic="http://schemas.openxmlformats.org/drawingml/2006/picture">
            <wp:extent cx="5532120" cy="3113472"/>
            <wp:docPr id="4" name="Picture 4" descr="Figure 4. Conceptual open-set evaluation protocol. Known classes are used for model fitting, late fraud mechanisms are withheld from training, and novelty thresholds are calibrated independently of the known-class boundary using energy, maximum-logit-margin, or prototype-distance scores." title="Figure 4"/>
            <wp:cNvGraphicFramePr>
              <a:graphicFrameLocks noChangeAspect="1"/>
            </wp:cNvGraphicFramePr>
            <a:graphic>
              <a:graphicData uri="http://schemas.openxmlformats.org/drawingml/2006/picture">
                <pic:pic>
                  <pic:nvPicPr>
                    <pic:cNvPr id="0" name="686c7b3ac075a481667c57b8914dee0d66dffb04.jpg"/>
                    <pic:cNvPicPr/>
                  </pic:nvPicPr>
                  <pic:blipFill>
                    <a:blip r:embed="rId14"/>
                    <a:stretch>
                      <a:fillRect/>
                    </a:stretch>
                  </pic:blipFill>
                  <pic:spPr>
                    <a:xfrm>
                      <a:off x="0" y="0"/>
                      <a:ext cx="5532120" cy="3113472"/>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4</w:t>
      </w:r>
      <w:r>
        <w:rPr>
          <w:rFonts w:ascii="Times New Roman" w:hAnsi="Times New Roman" w:eastAsia="Times New Roman" w:cs="Times New Roman"/>
          <w:b w:val="0"/>
          <w:i w:val="0"/>
          <w:color w:val="000000"/>
          <w:sz w:val="18"/>
        </w:rPr>
        <w:t xml:space="preserve"> Conceptual open-set evaluation protocol. Known classes are used for model fitting, late fraud mechanisms are withheld from training, and novelty thresholds are calibrated independently of the known-class boundary using energy, maximum-logit-margin, or prototype-distance scores.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4.5 Drift detection and continual adaptation</w:t>
      </w:r>
    </w:p>
    <w:p>
      <w:pPr>
        <w:spacing w:after="60" w:line="252" w:lineRule="auto" w:before="0"/>
        <w:ind/>
        <w:jc w:val="left"/>
        <w:widowControl/>
      </w:pPr>
      <w:r>
        <w:rPr>
          <w:rFonts w:ascii="Times New Roman" w:hAnsi="Times New Roman" w:eastAsia="Times New Roman" w:cs="Times New Roman"/>
          <w:b w:val="0"/>
          <w:i w:val="0"/>
          <w:color w:val="000000"/>
          <w:sz w:val="20"/>
        </w:rPr>
        <w:t>The deployment protocol monitors feature drift through distributional tests such as Kolmogorov-Smirnov or maximum mean discrepancy, graph drift through structural or community change, and prediction drift through error, uncertainty, and calibration signals. A pre-specified trigger can activate memory replay and model updating under a stability regulariser. Trigger definitions, replay capacity, update frequency, and rollback criteria must be fixed before evaluation. The benefit of this adaptation loop remains a planned ablation and is not a completed empirical result.</w:t>
      </w:r>
    </w:p>
    <w:p>
      <w:pPr>
        <w:keepNext/>
        <w:spacing w:before="60" w:after="40"/>
        <w:jc w:val="center"/>
        <w:widowControl/>
      </w:pPr>
      <w:r>
        <w:drawing>
          <wp:inline xmlns:a="http://schemas.openxmlformats.org/drawingml/2006/main" xmlns:pic="http://schemas.openxmlformats.org/drawingml/2006/picture">
            <wp:extent cx="5669280" cy="2834640"/>
            <wp:docPr id="5" name="Picture 5" descr="Figure 5. Conceptual drift-monitoring and continual-adaptation loop. Feature, graph, and prediction monitors can trigger memory-replay-based updating before redeployment; no adaptation-performance result is encoded in the diagram." title="Figure 5"/>
            <wp:cNvGraphicFramePr>
              <a:graphicFrameLocks noChangeAspect="1"/>
            </wp:cNvGraphicFramePr>
            <a:graphic>
              <a:graphicData uri="http://schemas.openxmlformats.org/drawingml/2006/picture">
                <pic:pic>
                  <pic:nvPicPr>
                    <pic:cNvPr id="0" name="070f59e48f6a7b5ee17376aea42416c9e40ef44c.jpg"/>
                    <pic:cNvPicPr/>
                  </pic:nvPicPr>
                  <pic:blipFill>
                    <a:blip r:embed="rId15"/>
                    <a:stretch>
                      <a:fillRect/>
                    </a:stretch>
                  </pic:blipFill>
                  <pic:spPr>
                    <a:xfrm>
                      <a:off x="0" y="0"/>
                      <a:ext cx="5669280" cy="283464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5</w:t>
      </w:r>
      <w:r>
        <w:rPr>
          <w:rFonts w:ascii="Times New Roman" w:hAnsi="Times New Roman" w:eastAsia="Times New Roman" w:cs="Times New Roman"/>
          <w:b w:val="0"/>
          <w:i w:val="0"/>
          <w:color w:val="000000"/>
          <w:sz w:val="18"/>
        </w:rPr>
        <w:t xml:space="preserve"> Conceptual drift-monitoring and continual-adaptation loop. Feature, graph, and prediction monitors can trigger memory-replay-based updating before redeployment; no adaptation-performance result is encoded in the diagram.</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4.6 Explainable risk output</w:t>
      </w:r>
    </w:p>
    <w:p>
      <w:pPr>
        <w:spacing w:after="60" w:line="252" w:lineRule="auto" w:before="0"/>
        <w:ind/>
        <w:jc w:val="left"/>
        <w:widowControl/>
      </w:pPr>
      <w:r>
        <w:rPr>
          <w:rFonts w:ascii="Times New Roman" w:hAnsi="Times New Roman" w:eastAsia="Times New Roman" w:cs="Times New Roman"/>
          <w:b w:val="0"/>
          <w:i w:val="0"/>
          <w:color w:val="000000"/>
          <w:sz w:val="20"/>
        </w:rPr>
        <w:t>For each suspicious event, the proposed interface reports known-class fraud probability, an uncertainty summary, and an open-set score together with complementary explanation objects: SHAP feature attributions [55], a GNNExplainer subgraph [53], and a counterfactual explanation [38-40]. Explanation quality is itself an evaluation target, including stability and sensitivity under context or relation deletion. These methods describe model behaviour; they do not establish causal explanations.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4.7 Federated optimization and adversarial robustness</w:t>
      </w:r>
    </w:p>
    <w:p>
      <w:pPr>
        <w:spacing w:after="60" w:line="252" w:lineRule="auto" w:before="0"/>
        <w:ind/>
        <w:jc w:val="left"/>
        <w:widowControl/>
      </w:pPr>
      <w:r>
        <w:rPr>
          <w:rFonts w:ascii="Times New Roman" w:hAnsi="Times New Roman" w:eastAsia="Times New Roman" w:cs="Times New Roman"/>
          <w:b w:val="0"/>
          <w:i w:val="0"/>
          <w:color w:val="000000"/>
          <w:sz w:val="20"/>
        </w:rPr>
        <w:t>Each institution acts as one federated client and performs local optimisation on its own temporally ordered graph data. At each communication round, eligible clients train from the current global state and transmit model-update information to the server; raw transaction records are not transmitted. The aggregation rule is modular so that Federated Averaging (FedAvg), FedProx, SCAFFOLD, adaptive weighting, and a selected robust rule can be compared under the same client partition, participation schedule, temporal split, and random seeds [42-46].</w:t>
      </w:r>
    </w:p>
    <w:p>
      <w:pPr>
        <w:spacing w:after="60" w:line="252" w:lineRule="auto" w:before="0"/>
        <w:ind/>
        <w:jc w:val="left"/>
        <w:widowControl/>
      </w:pPr>
      <w:r>
        <w:rPr>
          <w:rFonts w:ascii="Times New Roman" w:hAnsi="Times New Roman" w:eastAsia="Times New Roman" w:cs="Times New Roman"/>
          <w:b w:val="0"/>
          <w:i w:val="0"/>
          <w:color w:val="000000"/>
          <w:sz w:val="20"/>
        </w:rPr>
        <w:t>The threat model includes local label flipping, backdoor update injection, Sybil/collusion behaviour, and temporally evolving fraud. Attack strength, malicious-client fraction, trigger construction, and attacker knowledge must be specified for each scenario. Robust aggregation is evaluated only as an operational mitigation. Clean and attacked runs use matched seeds and retain per-round client-participation and update logs so that robustness degradation can be attributed to the attack condition.</w:t>
      </w:r>
    </w:p>
    <w:p>
      <w:pPr>
        <w:keepNext/>
        <w:spacing w:before="60" w:after="40"/>
        <w:jc w:val="center"/>
        <w:widowControl/>
      </w:pPr>
      <w:r>
        <w:drawing>
          <wp:inline xmlns:a="http://schemas.openxmlformats.org/drawingml/2006/main" xmlns:pic="http://schemas.openxmlformats.org/drawingml/2006/picture">
            <wp:extent cx="5715000" cy="2857500"/>
            <wp:docPr id="7" name="Picture 7" descr="Figure 6. Conceptual federated threat model and evaluation controls. Honest and malicious clients, update-level attacks, server-side diagnostics, robust aggregation, and continual monitoring are separated explicitly. The diagram specifies evaluation scope and does not imply verified robustness." title="Figure 6"/>
            <wp:cNvGraphicFramePr>
              <a:graphicFrameLocks noChangeAspect="1"/>
            </wp:cNvGraphicFramePr>
            <a:graphic>
              <a:graphicData uri="http://schemas.openxmlformats.org/drawingml/2006/picture">
                <pic:pic>
                  <pic:nvPicPr>
                    <pic:cNvPr id="0" name="daa320b2dcf8aa82a43df2aa20333d4041475581.jpg"/>
                    <pic:cNvPicPr/>
                  </pic:nvPicPr>
                  <pic:blipFill>
                    <a:blip r:embed="rId17"/>
                    <a:stretch>
                      <a:fillRect/>
                    </a:stretch>
                  </pic:blipFill>
                  <pic:spPr>
                    <a:xfrm>
                      <a:off x="0" y="0"/>
                      <a:ext cx="5715000" cy="285750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6</w:t>
      </w:r>
      <w:r>
        <w:rPr>
          <w:rFonts w:ascii="Times New Roman" w:hAnsi="Times New Roman" w:eastAsia="Times New Roman" w:cs="Times New Roman"/>
          <w:b w:val="0"/>
          <w:i w:val="0"/>
          <w:color w:val="000000"/>
          <w:sz w:val="18"/>
        </w:rPr>
        <w:t xml:space="preserve"> Conceptual federated threat model and evaluation controls. Honest and malicious clients, update-level attacks, server-side diagnostics, robust aggregation, and continual monitoring are separated explicitly. The diagram specifies evaluation scope and does not imply verified robustness.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5. Experimental Methodology</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5.1 Datasets, client environments, and temporal splitting</w:t>
      </w:r>
    </w:p>
    <w:p>
      <w:pPr>
        <w:spacing w:after="60" w:line="252" w:lineRule="auto" w:before="0"/>
        <w:ind/>
        <w:jc w:val="left"/>
        <w:widowControl/>
      </w:pPr>
      <w:r>
        <w:rPr>
          <w:rFonts w:ascii="Times New Roman" w:hAnsi="Times New Roman" w:eastAsia="Times New Roman" w:cs="Times New Roman"/>
          <w:b w:val="0"/>
          <w:i w:val="0"/>
          <w:color w:val="000000"/>
          <w:sz w:val="20"/>
        </w:rPr>
        <w:t>The controlled protocol creates four bank environments with configurable device reuse, merchant concentration, burstiness, label delay, and institutional heterogeneity. Known mechanisms A/B/C are eligible for model development, whereas late mechanisms D/E are withheld from training and reserved for open-set evaluation. The principal split preserves event time; random row shuffling is not used to create train/test partitions. Scale audits are complete at 50,000, 100,000, and 500,000 events, with five deterministic seeds (42-46) per scale. PaySim and IEEE-CIS remain separate evidence blocks until acquisition, schema, temporal, entity-mapping, and leakage checks pass.</w:t>
      </w:r>
    </w:p>
    <w:p>
      <w:pPr>
        <w:pStyle w:val="Caption"/>
        <w:keepNext/>
        <w:spacing w:before="80" w:after="40" w:line="240" w:lineRule="auto"/>
        <w:jc w:val="left"/>
        <w:widowControl/>
      </w:pPr>
      <w:r>
        <w:rPr>
          <w:rFonts w:ascii="Times New Roman" w:hAnsi="Times New Roman" w:eastAsia="Times New Roman" w:cs="Times New Roman"/>
          <w:b/>
          <w:i w:val="0"/>
          <w:color w:val="000000"/>
          <w:sz w:val="18"/>
        </w:rPr>
        <w:t>Table 1</w:t>
      </w:r>
      <w:r>
        <w:rPr>
          <w:rFonts w:ascii="Times New Roman" w:hAnsi="Times New Roman" w:eastAsia="Times New Roman" w:cs="Times New Roman"/>
          <w:b w:val="0"/>
          <w:i w:val="0"/>
          <w:color w:val="000000"/>
          <w:sz w:val="18"/>
        </w:rPr>
        <w:t xml:space="preserve"> Deterministic scale-audit design and evidence status.</w:t>
      </w:r>
    </w:p>
    <w:tbl>
      <w:tblPr>
        <w:tblStyle w:val="TableGrid"/>
        <w:tblW w:type="pct" w:w="5000"/>
        <w:jc w:val="center"/>
        <w:tblLayout w:type="autofit"/>
        <w:tblLook w:firstColumn="1" w:firstRow="1" w:lastColumn="0" w:lastRow="0" w:noHBand="0" w:noVBand="1" w:val="04A0"/>
      </w:tblPr>
      <w:tblGrid>
        <w:gridCol w:w="1928"/>
        <w:gridCol w:w="1928"/>
        <w:gridCol w:w="1928"/>
        <w:gridCol w:w="1928"/>
        <w:gridCol w:w="1928"/>
      </w:tblGrid>
      <w:tr>
        <w:trPr>
          <w:tblHeader w:val="true"/>
          <w:cantSplit/>
        </w:trPr>
        <w:tc>
          <w:tcPr>
            <w:tcW w:type="dxa" w:w="17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Events per run</w:t>
            </w:r>
          </w:p>
        </w:tc>
        <w:tc>
          <w:tcPr>
            <w:tcW w:type="dxa" w:w="1296"/>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Seeds</w:t>
            </w:r>
          </w:p>
        </w:tc>
        <w:tc>
          <w:tcPr>
            <w:tcW w:type="dxa" w:w="100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Runs</w:t>
            </w:r>
          </w:p>
        </w:tc>
        <w:tc>
          <w:tcPr>
            <w:tcW w:type="dxa" w:w="100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Banks</w:t>
            </w:r>
          </w:p>
        </w:tc>
        <w:tc>
          <w:tcPr>
            <w:tcW w:type="dxa" w:w="230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Evidence status</w:t>
            </w:r>
          </w:p>
        </w:tc>
      </w:tr>
      <w:tr>
        <w:trPr>
          <w:cantSplit/>
        </w:trPr>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50,000</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42–46</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5</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4</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complete</w:t>
            </w:r>
          </w:p>
        </w:tc>
      </w:tr>
      <w:tr>
        <w:trPr>
          <w:cantSplit/>
        </w:trPr>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100,000</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42–46</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5</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4</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complete</w:t>
            </w:r>
          </w:p>
        </w:tc>
      </w:tr>
      <w:tr>
        <w:trPr>
          <w:cantSplit/>
        </w:trPr>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500,000</w:t>
            </w:r>
          </w:p>
        </w:tc>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42–46</w:t>
            </w:r>
          </w:p>
        </w:tc>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5</w:t>
            </w:r>
          </w:p>
        </w:tc>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4</w:t>
            </w:r>
          </w:p>
        </w:tc>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complete</w:t>
            </w:r>
          </w:p>
        </w:tc>
      </w:tr>
    </w:tbl>
    <w:p>
      <w:pPr>
        <w:spacing w:before="0" w:after="60" w:line="252" w:lineRule="auto"/>
        <w:jc w:val="left"/>
        <w:widowControl/>
      </w:pPr>
      <w:r>
        <w:rPr>
          <w:rFonts w:ascii="Times New Roman" w:hAnsi="Times New Roman" w:eastAsia="Times New Roman" w:cs="Times New Roman"/>
          <w:b/>
          <w:color w:val="000000"/>
          <w:sz w:val="20"/>
        </w:rPr>
        <w:t>Note. Completed scale-audit records validate data generation and provenance only; they are not trained-model results.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5.2 Evaluation metrics and threshold policy</w:t>
      </w:r>
    </w:p>
    <w:p>
      <w:pPr>
        <w:spacing w:after="60" w:line="252" w:lineRule="auto" w:before="0"/>
        <w:ind/>
        <w:jc w:val="left"/>
        <w:widowControl/>
      </w:pPr>
      <w:r>
        <w:rPr>
          <w:rFonts w:ascii="Times New Roman" w:hAnsi="Times New Roman" w:eastAsia="Times New Roman" w:cs="Times New Roman"/>
          <w:b w:val="0"/>
          <w:i w:val="0"/>
          <w:color w:val="000000"/>
          <w:sz w:val="20"/>
        </w:rPr>
        <w:t>Known-class discrimination is evaluated with area under the receiver operating characteristic curve (AUROC), average precision (AP), F1, precision, recall, and balanced accuracy, with the positive class stated explicitly. Accuracy is secondary under severe imbalance [4,5]. Unknown-event detection is reported separately using unknown AUROC, AP, unknown F1, and the false-positive rate at 95% true-positive rate (FPR95). Known-class and novelty thresholds are selected on validation data only; the held-out unknown-test mechanism must not contribute to score selection, calibration, prototype construction, or operating-point choice. Calibration reporting includes expected calibration error (ECE) and score distributions where available [48].</w:t>
      </w:r>
    </w:p>
    <w:p>
      <w:pPr>
        <w:pStyle w:val="Caption"/>
        <w:keepNext/>
        <w:spacing w:before="80" w:after="40" w:line="240" w:lineRule="auto"/>
        <w:jc w:val="left"/>
        <w:widowControl/>
      </w:pPr>
      <w:r>
        <w:rPr>
          <w:rFonts w:ascii="Times New Roman" w:hAnsi="Times New Roman" w:eastAsia="Times New Roman" w:cs="Times New Roman"/>
          <w:b/>
          <w:i w:val="0"/>
          <w:color w:val="000000"/>
          <w:sz w:val="18"/>
        </w:rPr>
        <w:t>Table 2</w:t>
      </w:r>
      <w:r>
        <w:rPr>
          <w:rFonts w:ascii="Times New Roman" w:hAnsi="Times New Roman" w:eastAsia="Times New Roman" w:cs="Times New Roman"/>
          <w:b w:val="0"/>
          <w:i w:val="0"/>
          <w:color w:val="000000"/>
          <w:sz w:val="18"/>
        </w:rPr>
        <w:t xml:space="preserve"> Reporting contract for known-class, open-set, calibration, and robustness evaluation.</w:t>
      </w:r>
    </w:p>
    <w:tbl>
      <w:tblPr>
        <w:tblStyle w:val="TableGrid"/>
        <w:tblW w:type="pct" w:w="5000"/>
        <w:jc w:val="center"/>
        <w:tblLayout w:type="autofit"/>
        <w:tblLook w:firstColumn="1" w:firstRow="1" w:lastColumn="0" w:lastRow="0" w:noHBand="0" w:noVBand="1" w:val="04A0"/>
      </w:tblPr>
      <w:tblGrid>
        <w:gridCol w:w="3213"/>
        <w:gridCol w:w="3213"/>
        <w:gridCol w:w="3213"/>
      </w:tblGrid>
      <w:tr>
        <w:trPr>
          <w:tblHeader w:val="true"/>
          <w:cantSplit/>
        </w:trPr>
        <w:tc>
          <w:tcPr>
            <w:tcW w:type="dxa" w:w="230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Evaluation object</w:t>
            </w:r>
          </w:p>
        </w:tc>
        <w:tc>
          <w:tcPr>
            <w:tcW w:type="dxa" w:w="302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Primary measures</w:t>
            </w:r>
          </w:p>
        </w:tc>
        <w:tc>
          <w:tcPr>
            <w:tcW w:type="dxa" w:w="4032"/>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Threshold / comparison policy</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Known fraud vs legitimate</w:t>
            </w:r>
          </w:p>
        </w:tc>
        <w:tc>
          <w:tcPr>
            <w:tcW w:type="dxa" w:w="3213"/>
            <w:vAlign w:val="center"/>
            <w:tcMar>
              <w:top w:w="40" w:type="dxa"/>
              <w:start w:w="60" w:type="dxa"/>
              <w:bottom w:w="40" w:type="dxa"/>
              <w:end w:w="60" w:type="dxa"/>
            </w:tcMar>
          </w:tcPr>
          <w:p>
            <w:r>
              <w:rPr>
                <w:rFonts w:ascii="Times New Roman" w:hAnsi="Times New Roman" w:eastAsia="Times New Roman"/>
                <w:sz w:val="18"/>
              </w:rPr>
              <w:t>AUROC, AP, F1, precision, recall, balanced accuracy</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Threshold selected on validation data; positive class explicitly stated</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Unknown-event detection</w:t>
            </w:r>
          </w:p>
        </w:tc>
        <w:tc>
          <w:tcPr>
            <w:tcW w:type="dxa" w:w="3213"/>
            <w:vAlign w:val="center"/>
            <w:tcMar>
              <w:top w:w="40" w:type="dxa"/>
              <w:start w:w="60" w:type="dxa"/>
              <w:bottom w:w="40" w:type="dxa"/>
              <w:end w:w="60" w:type="dxa"/>
            </w:tcMar>
          </w:tcPr>
          <w:p>
            <w:r>
              <w:rPr>
                <w:rFonts w:ascii="Times New Roman" w:hAnsi="Times New Roman" w:eastAsia="Times New Roman"/>
                <w:sz w:val="18"/>
              </w:rPr>
              <w:t>Unknown AUROC, AP, F1, FPR95</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Novelty threshold calibrated without the held-out unknown test mechanism</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Calibration / uncertainty</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ECE, score distribution, uncertainty summary</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Measured on temporal validation/test splits; no post-hoc tuning on test</w:t>
            </w:r>
          </w:p>
        </w:tc>
      </w:tr>
      <w:tr>
        <w:trPr>
          <w:cantSplit/>
        </w:trPr>
        <w:tc>
          <w:tcPr>
            <w:tcW w:type="dxa" w:w="3213"/>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Adversarial robustness</w:t>
            </w:r>
          </w:p>
        </w:tc>
        <w:tc>
          <w:tcPr>
            <w:tcW w:type="dxa" w:w="3213"/>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Clean-to-attack performance gap; trigger success / degradation</w:t>
            </w:r>
          </w:p>
        </w:tc>
        <w:tc>
          <w:tcPr>
            <w:tcW w:type="dxa" w:w="3213"/>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Matched clean and attacked seeds with per-round logs</w:t>
            </w:r>
          </w:p>
        </w:tc>
      </w:tr>
    </w:tbl>
    <w:p>
      <w:pPr>
        <w:spacing w:before="0" w:after="60" w:line="252" w:lineRule="auto"/>
        <w:jc w:val="left"/>
        <w:widowControl/>
      </w:pPr>
      <w:r>
        <w:rPr>
          <w:rFonts w:ascii="Times New Roman" w:hAnsi="Times New Roman" w:eastAsia="Times New Roman" w:cs="Times New Roman"/>
          <w:b/>
          <w:color w:val="000000"/>
          <w:sz w:val="20"/>
        </w:rPr>
        <w:t>Note. Every empirical table must identify the evaluation population, positive class, number of seeds, threshold policy, evidence status, and whether values are trained-model outputs or diagnostic proxies. Variation estimates must be reported only when actually available.</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5.3 Baselines and ablations</w:t>
      </w:r>
    </w:p>
    <w:p>
      <w:pPr>
        <w:spacing w:after="60" w:line="252" w:lineRule="auto" w:before="0"/>
        <w:ind/>
        <w:jc w:val="left"/>
        <w:widowControl/>
      </w:pPr>
      <w:r>
        <w:rPr>
          <w:rFonts w:ascii="Times New Roman" w:hAnsi="Times New Roman" w:eastAsia="Times New Roman" w:cs="Times New Roman"/>
          <w:b w:val="0"/>
          <w:i w:val="0"/>
          <w:color w:val="000000"/>
          <w:sz w:val="20"/>
        </w:rPr>
        <w:t>Baselines are grouped by modelling assumption. Traditional baselines include logistic regression, random forest, and gradient-boosted trees; the neural tabular baseline is a multilayer perceptron (MLP); graph baselines include homogeneous and temporal graph models; and the full framework adds heterogeneous relation types together with invariant and open-set modules. Federated comparisons include FedAvg, FedProx, SCAFFOLD, adaptive aggregation, and a selected robust rule. All comparisons must share the same temporal split, client assignment, label-delay handling, unknown holdout, seed set, and evaluation metrics.</w:t>
      </w:r>
    </w:p>
    <w:p>
      <w:pPr>
        <w:spacing w:after="60" w:line="252" w:lineRule="auto" w:before="0"/>
        <w:ind/>
        <w:jc w:val="left"/>
        <w:widowControl/>
      </w:pPr>
      <w:r>
        <w:rPr>
          <w:rFonts w:ascii="Times New Roman" w:hAnsi="Times New Roman" w:eastAsia="Times New Roman" w:cs="Times New Roman"/>
          <w:b w:val="0"/>
          <w:i w:val="0"/>
          <w:color w:val="000000"/>
          <w:sz w:val="20"/>
        </w:rPr>
        <w:t>Ablations are defined by the scientific question they test: removing L_inv tests multi-environment regularisation; removing the environment-specific branch tests explicit nuisance capacity; removing elapsed-time encoding tests temporal-gap information; collapsing relation types tests heterogeneity; removing L_con tests cross-environment alignment; removing explicit open-set scoring tests the value of a separate novelty decision; disabling replay/drift adaptation tests continual updating; and replacing robust/adaptive aggregation with FedAvg tests the aggregation contribution. Each ablation should report both metric change and the associated failure mode.</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5.4 Adversarial stress tests</w:t>
      </w:r>
    </w:p>
    <w:p>
      <w:pPr>
        <w:pStyle w:val="Caption"/>
        <w:keepNext/>
        <w:spacing w:before="80" w:after="40" w:line="240" w:lineRule="auto"/>
        <w:jc w:val="left"/>
        <w:pageBreakBefore/>
        <w:widowControl/>
      </w:pPr>
      <w:r>
        <w:rPr>
          <w:rFonts w:ascii="Times New Roman" w:hAnsi="Times New Roman" w:eastAsia="Times New Roman" w:cs="Times New Roman"/>
          <w:b/>
          <w:i w:val="0"/>
          <w:color w:val="000000"/>
          <w:sz w:val="18"/>
        </w:rPr>
        <w:t>Table 3</w:t>
      </w:r>
      <w:r>
        <w:rPr>
          <w:rFonts w:ascii="Times New Roman" w:hAnsi="Times New Roman" w:eastAsia="Times New Roman" w:cs="Times New Roman"/>
          <w:b w:val="0"/>
          <w:i w:val="0"/>
          <w:color w:val="000000"/>
          <w:sz w:val="18"/>
        </w:rPr>
        <w:t xml:space="preserve"> Federated threat matrix and required audit artifacts.</w:t>
      </w:r>
    </w:p>
    <w:tbl>
      <w:tblPr>
        <w:tblStyle w:val="TableGrid"/>
        <w:tblW w:type="pct" w:w="500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1800"/>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Threat</w:t>
            </w:r>
          </w:p>
        </w:tc>
        <w:tc>
          <w:tcPr>
            <w:tcW w:type="dxa" w:w="1872"/>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Injection point</w:t>
            </w:r>
          </w:p>
        </w:tc>
        <w:tc>
          <w:tcPr>
            <w:tcW w:type="dxa" w:w="2736"/>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Primary outcome</w:t>
            </w:r>
          </w:p>
        </w:tc>
        <w:tc>
          <w:tcPr>
            <w:tcW w:type="dxa" w:w="302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Required audit artifact</w:t>
            </w:r>
          </w:p>
        </w:tc>
      </w:tr>
      <w:tr>
        <w:trPr>
          <w:cantSplit/>
        </w:trPr>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Label flipping</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Local labels</w:t>
            </w:r>
          </w:p>
        </w:tc>
        <w:tc>
          <w:tcPr>
            <w:tcW w:type="dxa" w:w="2409"/>
            <w:vAlign w:val="center"/>
            <w:tcMar>
              <w:top w:w="40" w:type="dxa"/>
              <w:start w:w="60" w:type="dxa"/>
              <w:bottom w:w="40" w:type="dxa"/>
              <w:end w:w="60" w:type="dxa"/>
            </w:tcMar>
          </w:tcPr>
          <w:p>
            <w:r>
              <w:rPr>
                <w:rFonts w:ascii="Times New Roman" w:hAnsi="Times New Roman" w:eastAsia="Times New Roman"/>
                <w:sz w:val="18"/>
              </w:rPr>
              <w:t>Known-class F1 / AUROC degradation</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Attack manifest</w:t>
            </w:r>
          </w:p>
        </w:tc>
      </w:tr>
      <w:tr>
        <w:trPr>
          <w:cantSplit/>
        </w:trPr>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Backdoor update</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Parameter delta</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Clean-vs-trigger performance gap</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Per-round update log</w:t>
            </w:r>
          </w:p>
        </w:tc>
      </w:tr>
      <w:tr>
        <w:trPr>
          <w:cantSplit/>
        </w:trPr>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Sybil / collusion</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Client population</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Robustness degradation under coordinated clients</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Client roster and participation trace</w:t>
            </w:r>
          </w:p>
        </w:tc>
      </w:tr>
      <w:tr>
        <w:trPr>
          <w:cantSplit/>
        </w:trPr>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Temporal drift</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Late mechanisms</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Unknown AUROC / FPR95 and adaptation effect</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Time split and drift log</w:t>
            </w:r>
          </w:p>
        </w:tc>
      </w:tr>
    </w:tbl>
    <w:p>
      <w:pPr>
        <w:spacing w:before="0" w:after="60" w:line="252" w:lineRule="auto"/>
        <w:jc w:val="left"/>
        <w:widowControl/>
      </w:pPr>
      <w:r>
        <w:rPr>
          <w:rFonts w:ascii="Times New Roman" w:hAnsi="Times New Roman" w:eastAsia="Times New Roman" w:cs="Times New Roman"/>
          <w:b/>
          <w:color w:val="000000"/>
          <w:sz w:val="20"/>
        </w:rPr>
        <w:t>Note. Attack outcomes remain NOT YET EVALUATED. The table defines the threat/evidence contract and does not establish attack resistance.</w:t>
      </w:r>
      <w:r>
        <w:rPr>
          <w:rFonts w:ascii="Times New Roman" w:hAnsi="Times New Roman" w:eastAsia="Times New Roman" w:cs="Times New Roman"/>
          <w:color w:val="000000"/>
          <w:sz w:val="20"/>
        </w:rPr>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5.5 Public-data protocol</w:t>
      </w:r>
    </w:p>
    <w:p>
      <w:pPr>
        <w:spacing w:after="60" w:line="252" w:lineRule="auto" w:before="0"/>
        <w:ind/>
        <w:jc w:val="left"/>
        <w:widowControl/>
      </w:pPr>
      <w:r>
        <w:rPr>
          <w:rFonts w:ascii="Times New Roman" w:hAnsi="Times New Roman" w:eastAsia="Times New Roman" w:cs="Times New Roman"/>
          <w:b w:val="0"/>
          <w:i w:val="0"/>
          <w:color w:val="000000"/>
          <w:sz w:val="20"/>
        </w:rPr>
        <w:t>PaySim is the first public-data target because its mobile-money schema can be mapped to a reproducible transaction-graph adapter [54]. The current package records an expected checksum for the designated source, but the available transfer is incomplete and therefore cannot be treated as a verified dataset. IEEE-CIS requires authenticated Kaggle access and acceptance of the competition terms. Consequently, neither public dataset contributes a model-performance result to the current evidence set.</w:t>
      </w:r>
    </w:p>
    <w:p>
      <w:pPr>
        <w:pStyle w:val="Caption"/>
        <w:keepNext/>
        <w:spacing w:before="80" w:after="40" w:line="240" w:lineRule="auto"/>
        <w:jc w:val="left"/>
        <w:widowControl/>
      </w:pPr>
      <w:r>
        <w:rPr>
          <w:rFonts w:ascii="Times New Roman" w:hAnsi="Times New Roman" w:eastAsia="Times New Roman" w:cs="Times New Roman"/>
          <w:b/>
          <w:i w:val="0"/>
          <w:color w:val="000000"/>
          <w:sz w:val="18"/>
        </w:rPr>
        <w:t>Table 4</w:t>
      </w:r>
      <w:r>
        <w:rPr>
          <w:rFonts w:ascii="Times New Roman" w:hAnsi="Times New Roman" w:eastAsia="Times New Roman" w:cs="Times New Roman"/>
          <w:b w:val="0"/>
          <w:i w:val="0"/>
          <w:color w:val="000000"/>
          <w:sz w:val="18"/>
        </w:rPr>
        <w:t xml:space="preserve"> Public-dataset acquisition and validation status.</w:t>
      </w:r>
    </w:p>
    <w:tbl>
      <w:tblPr>
        <w:tblStyle w:val="TableGrid"/>
        <w:tblW w:type="pct" w:w="500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194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Dataset</w:t>
            </w:r>
          </w:p>
        </w:tc>
        <w:tc>
          <w:tcPr>
            <w:tcW w:type="dxa" w:w="374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Acquisition status</w:t>
            </w:r>
          </w:p>
        </w:tc>
        <w:tc>
          <w:tcPr>
            <w:tcW w:type="dxa" w:w="122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Graph run</w:t>
            </w:r>
          </w:p>
        </w:tc>
        <w:tc>
          <w:tcPr>
            <w:tcW w:type="dxa" w:w="2736"/>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Current claim</w:t>
            </w:r>
          </w:p>
        </w:tc>
      </w:tr>
      <w:tr>
        <w:trPr>
          <w:cantSplit/>
        </w:trPr>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PaySim</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Partial mirror transfer; checksum not verified</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pending</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not reported as empirical result</w:t>
            </w:r>
          </w:p>
        </w:tc>
      </w:tr>
      <w:tr>
        <w:trPr>
          <w:cantSplit/>
        </w:trPr>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IEEE-CIS Fraud Detection</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Authenticated Kaggle access required</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pending</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not reported as empirical result</w:t>
            </w:r>
          </w:p>
        </w:tc>
      </w:tr>
    </w:tbl>
    <w:p>
      <w:pPr>
        <w:spacing w:before="0" w:after="60" w:line="252" w:lineRule="auto"/>
        <w:jc w:val="left"/>
        <w:widowControl/>
      </w:pPr>
      <w:r>
        <w:rPr>
          <w:rFonts w:ascii="Times New Roman" w:hAnsi="Times New Roman" w:eastAsia="Times New Roman" w:cs="Times New Roman"/>
          <w:b/>
          <w:color w:val="000000"/>
          <w:sz w:val="20"/>
        </w:rPr>
        <w:t>Note. Public-data results may enter comparative tables only after checksum, schema, missingness, temporal-ordering, entity-construction, client-assignment, label, and leakage checks are documented.</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5.6 Reproducibility and artifact provenance</w:t>
      </w:r>
    </w:p>
    <w:p>
      <w:pPr>
        <w:spacing w:after="60" w:line="252" w:lineRule="auto" w:before="0"/>
        <w:ind/>
        <w:jc w:val="left"/>
        <w:widowControl/>
      </w:pPr>
      <w:r>
        <w:rPr>
          <w:rFonts w:ascii="Times New Roman" w:hAnsi="Times New Roman" w:eastAsia="Times New Roman" w:cs="Times New Roman"/>
          <w:b w:val="0"/>
          <w:i w:val="0"/>
          <w:color w:val="000000"/>
          <w:sz w:val="20"/>
        </w:rPr>
        <w:t>The reproducibility package links generator code, model-upgrade utilities, YAML configuration, per-run metadata, CSV outputs, figures, workbooks, and a consolidated RESULTS_MANIFEST.json. Every completed model run is required to record the software environment, seed, data and split identifiers, configuration hash, checkpoint hash, client participation, threshold policy, metric support, and evidence status. Pending cells must remain pending rather than being populated from earlier manuscript versions.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5.7 Statistical reporting and leakage controls</w:t>
      </w:r>
    </w:p>
    <w:p>
      <w:pPr>
        <w:spacing w:after="60" w:line="252" w:lineRule="auto" w:before="0"/>
        <w:ind/>
        <w:jc w:val="left"/>
        <w:widowControl/>
      </w:pPr>
      <w:r>
        <w:rPr>
          <w:rFonts w:ascii="Times New Roman" w:hAnsi="Times New Roman" w:eastAsia="Times New Roman" w:cs="Times New Roman"/>
          <w:b w:val="0"/>
          <w:i w:val="0"/>
          <w:color w:val="000000"/>
          <w:sz w:val="20"/>
        </w:rPr>
        <w:t>For completed neural experiments, each model should be evaluated over the pre-specified seed set and reported with a central estimate plus an explicitly named dispersion or uncertainty measure when available. Statistical comparisons should use matched runs where the design permits and must identify the comparison population. No test-set tuning is permitted: temporal features, normalisation, class thresholds, novelty thresholds, prototypes, hyperparameters, and early-stopping decisions are derived from training/validation information only. Missing variation estimates remain missing rather than being reconstructed from aggregate values.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6. Results and Current Evidence Status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6.1 Scale and provenance audit</w:t>
      </w:r>
    </w:p>
    <w:p>
      <w:pPr>
        <w:spacing w:after="60" w:line="252" w:lineRule="auto" w:before="0"/>
        <w:ind/>
        <w:jc w:val="left"/>
        <w:widowControl/>
      </w:pPr>
      <w:r>
        <w:t>The current analysis verifies the SHA-256 hashes of all 15 available streams against the historical manifest and evaluates each stream independently. It does not rerun data generation or reinterpret historical generation time as model-training cost. Table 5 replaces the legacy amount diagnostics with freshly computed, tie-aware metrics on the late test partition. Table 6 reports exact partition sizes and measured positive support, while Figure 7 characterises institutional heterogeneity and the late prevalence shift. These checks establish input integrity and split separation for the present analysis; they do not establish realism of the synthetic process.</w:t>
      </w:r>
    </w:p>
    <w:p>
      <w:pPr>
        <w:pStyle w:val="Caption"/>
        <w:keepNext/>
        <w:spacing w:before="80" w:after="40" w:line="240" w:lineRule="auto"/>
        <w:jc w:val="left"/>
        <w:widowControl/>
      </w:pPr>
      <w:r>
        <w:t>Table 5 Recomputed amount-based unknown-event diagnostics on the late 30% test partition. Mean ± sample SD across five seeds; D/E are positive.</w:t>
      </w:r>
    </w:p>
    <w:tbl>
      <w:tblPr>
        <w:tblStyle w:val="TableGrid"/>
        <w:tblW w:type="pct" w:w="500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1296"/>
        <w:gridCol w:w="1512"/>
        <w:gridCol w:w="1426"/>
        <w:gridCol w:w="1426"/>
        <w:gridCol w:w="1368"/>
        <w:gridCol w:w="1440"/>
      </w:tblGrid>
      <w:tr>
        <w:trPr>
          <w:tblHeader w:val="true"/>
          <w:cantSplit/>
          <w:cantSplit/>
          <w:tblHeader/>
        </w:trPr>
        <w:tc>
          <w:tcPr>
            <w:tcW w:type="dxa" w:w="893"/>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eastAsia="Times New Roman" w:cs="Times New Roman"/>
                <w:b/>
                <w:color w:val="000000"/>
                <w:sz w:val="16"/>
              </w:rPr>
              <w:t>Events</w:t>
            </w:r>
          </w:p>
        </w:tc>
        <w:tc>
          <w:tcPr>
            <w:tcW w:type="dxa" w:w="1296"/>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left"/>
            </w:pPr>
            <w:r>
              <w:rPr>
                <w:rFonts w:ascii="Times New Roman" w:hAnsi="Times New Roman"/>
                <w:b/>
                <w:color w:val="000000"/>
                <w:sz w:val="16"/>
              </w:rPr>
              <w:t>Unknown n</w:t>
            </w:r>
          </w:p>
        </w:tc>
        <w:tc>
          <w:tcPr>
            <w:tcW w:type="dxa" w:w="1512"/>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AUROC</w:t>
            </w:r>
          </w:p>
        </w:tc>
        <w:tc>
          <w:tcPr>
            <w:tcW w:type="dxa" w:w="1426"/>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AP</w:t>
            </w:r>
          </w:p>
        </w:tc>
        <w:tc>
          <w:tcPr>
            <w:tcW w:type="dxa" w:w="1426"/>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F1</w:t>
            </w:r>
          </w:p>
        </w:tc>
        <w:tc>
          <w:tcPr>
            <w:tcW w:type="dxa" w:w="1368"/>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FPR95</w:t>
            </w:r>
          </w:p>
        </w:tc>
        <w:tc>
          <w:tcPr>
            <w:tcW w:type="dxa" w:w="1440"/>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Test FPR</w:t>
            </w:r>
          </w:p>
        </w:tc>
      </w:tr>
      <w:tr>
        <w:trPr>
          <w:cantSplit/>
          <w:cantSplit/>
        </w:trPr>
        <w:tc>
          <w:tcPr>
            <w:tcW w:type="dxa" w:w="893"/>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eastAsia="Times New Roman" w:cs="Times New Roman"/>
                <w:b w:val="0"/>
                <w:color w:val="000000"/>
                <w:sz w:val="16"/>
              </w:rPr>
              <w:t>50,000</w:t>
            </w:r>
          </w:p>
        </w:tc>
        <w:tc>
          <w:tcPr>
            <w:tcW w:type="dxa" w:w="1296"/>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left"/>
            </w:pPr>
            <w:r>
              <w:rPr>
                <w:rFonts w:ascii="Times New Roman" w:hAnsi="Times New Roman"/>
                <w:b w:val="0"/>
                <w:color w:val="000000"/>
                <w:sz w:val="16"/>
              </w:rPr>
              <w:t>581.4 ± 20.7</w:t>
            </w:r>
          </w:p>
        </w:tc>
        <w:tc>
          <w:tcPr>
            <w:tcW w:type="dxa" w:w="1512"/>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0.537 ± 0.010</w:t>
            </w:r>
          </w:p>
        </w:tc>
        <w:tc>
          <w:tcPr>
            <w:tcW w:type="dxa" w:w="1426"/>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0.046 ± 0.003</w:t>
            </w:r>
          </w:p>
        </w:tc>
        <w:tc>
          <w:tcPr>
            <w:tcW w:type="dxa" w:w="1426"/>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0.064 ± 0.010</w:t>
            </w:r>
          </w:p>
        </w:tc>
        <w:tc>
          <w:tcPr>
            <w:tcW w:type="dxa" w:w="1368"/>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0.953 ± 0.007</w:t>
            </w:r>
          </w:p>
        </w:tc>
        <w:tc>
          <w:tcPr>
            <w:tcW w:type="dxa" w:w="1440"/>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0.062 ± 0.003</w:t>
            </w:r>
          </w:p>
        </w:tc>
      </w:tr>
      <w:tr>
        <w:trPr>
          <w:cantSplit/>
          <w:cantSplit/>
        </w:trPr>
        <w:tc>
          <w:tcPr>
            <w:tcW w:type="dxa" w:w="893"/>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eastAsia="Times New Roman" w:cs="Times New Roman"/>
                <w:b w:val="0"/>
                <w:color w:val="000000"/>
                <w:sz w:val="16"/>
              </w:rPr>
              <w:t>100,000</w:t>
            </w:r>
          </w:p>
        </w:tc>
        <w:tc>
          <w:tcPr>
            <w:tcW w:type="dxa" w:w="1296"/>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left"/>
            </w:pPr>
            <w:r>
              <w:rPr>
                <w:rFonts w:ascii="Times New Roman" w:hAnsi="Times New Roman"/>
                <w:b w:val="0"/>
                <w:color w:val="000000"/>
                <w:sz w:val="16"/>
              </w:rPr>
              <w:t>1151.0 ± 20.7</w:t>
            </w:r>
          </w:p>
        </w:tc>
        <w:tc>
          <w:tcPr>
            <w:tcW w:type="dxa" w:w="1512"/>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0.538 ± 0.014</w:t>
            </w:r>
          </w:p>
        </w:tc>
        <w:tc>
          <w:tcPr>
            <w:tcW w:type="dxa" w:w="1426"/>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0.046 ± 0.002</w:t>
            </w:r>
          </w:p>
        </w:tc>
        <w:tc>
          <w:tcPr>
            <w:tcW w:type="dxa" w:w="1426"/>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0.069 ± 0.002</w:t>
            </w:r>
          </w:p>
        </w:tc>
        <w:tc>
          <w:tcPr>
            <w:tcW w:type="dxa" w:w="1368"/>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0.949 ± 0.006</w:t>
            </w:r>
          </w:p>
        </w:tc>
        <w:tc>
          <w:tcPr>
            <w:tcW w:type="dxa" w:w="1440"/>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0.064 ± 0.001</w:t>
            </w:r>
          </w:p>
        </w:tc>
      </w:tr>
      <w:tr>
        <w:trPr>
          <w:cantSplit/>
          <w:cantSplit/>
        </w:trPr>
        <w:tc>
          <w:tcPr>
            <w:tcW w:type="dxa" w:w="893"/>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eastAsia="Times New Roman" w:cs="Times New Roman"/>
                <w:b w:val="0"/>
                <w:color w:val="000000"/>
                <w:sz w:val="16"/>
              </w:rPr>
              <w:t>500,000</w:t>
            </w:r>
          </w:p>
        </w:tc>
        <w:tc>
          <w:tcPr>
            <w:tcW w:type="dxa" w:w="1296"/>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left"/>
            </w:pPr>
            <w:r>
              <w:rPr>
                <w:rFonts w:ascii="Times New Roman" w:hAnsi="Times New Roman"/>
                <w:b w:val="0"/>
                <w:color w:val="000000"/>
                <w:sz w:val="16"/>
              </w:rPr>
              <w:t>5726.4 ± 101.5</w:t>
            </w:r>
          </w:p>
        </w:tc>
        <w:tc>
          <w:tcPr>
            <w:tcW w:type="dxa" w:w="1512"/>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0.544 ± 0.005</w:t>
            </w:r>
          </w:p>
        </w:tc>
        <w:tc>
          <w:tcPr>
            <w:tcW w:type="dxa" w:w="1426"/>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0.046 ± 0.002</w:t>
            </w:r>
          </w:p>
        </w:tc>
        <w:tc>
          <w:tcPr>
            <w:tcW w:type="dxa" w:w="1426"/>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0.072 ± 0.006</w:t>
            </w:r>
          </w:p>
        </w:tc>
        <w:tc>
          <w:tcPr>
            <w:tcW w:type="dxa" w:w="1368"/>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0.942 ± 0.002</w:t>
            </w:r>
          </w:p>
        </w:tc>
        <w:tc>
          <w:tcPr>
            <w:tcW w:type="dxa" w:w="1440"/>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0.063 ± 0.001</w:t>
            </w:r>
          </w:p>
        </w:tc>
      </w:tr>
    </w:tbl>
    <w:p>
      <w:pPr>
        <w:spacing w:before="0" w:after="60" w:line="252" w:lineRule="auto"/>
        <w:jc w:val="left"/>
        <w:widowControl/>
      </w:pPr>
      <w:r>
        <w:t>Note. AP is non-interpolated average precision; FPR95 is the minimum false-positive rate at a distinct score threshold attaining at least 95% unknown recall. F1 and Test FPR use the 95th percentile of validation amounts, with larger amounts indicating greater novelty. The final test set is never used to choose this operating threshold. FPR95 is a descriptive test-curve statistic rather than a deployed threshold. These values are untrained amount diagnostics, not CausalFed-TGNN outputs.</w:t>
      </w:r>
    </w:p>
    <w:p>
      <w:pPr>
        <w:spacing w:after="60" w:line="252" w:lineRule="auto" w:before="0"/>
        <w:ind/>
        <w:jc w:val="left"/>
        <w:widowControl/>
      </w:pPr>
      <w:r>
        <w:t>Legacy full-stream AUROC values were incorrect because the implementation combined descending ranks with an ascending-rank formula and did not assign tied scores equal credit. Holding the full-stream population fixed, the corrected mean AUROC values are 0.558, 0.559, and 0.564 at the three scales. These repair-only values are distinct from Table 5, which also changes the evaluation population to a disjoint late holdout. The corrected metric implementation passes known-answer and tie-permutation checks, while the analysis package retains the original records unchanged.</w:t>
      </w:r>
    </w:p>
    <w:p>
      <w:pPr>
        <w:pStyle w:val="Caption"/>
        <w:keepNext/>
        <w:rPr/>
      </w:pPr>
      <w:r>
        <w:t>Table 6 Chronological split support per stream. Counts are exact for train, validation, and test; known/unknown test counts are mean ± sample SD over five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1037"/>
        <w:gridCol w:w="1152"/>
        <w:gridCol w:w="1037"/>
        <w:gridCol w:w="2578"/>
        <w:gridCol w:w="2578"/>
      </w:tblGrid>
      <w:tr>
        <w:trPr>
          <w:cantSplit/>
          <w:tblHeader/>
        </w:trPr>
        <w:tc>
          <w:tcPr>
            <w:tcW w:type="dxa" w:w="979"/>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Events</w:t>
            </w:r>
          </w:p>
        </w:tc>
        <w:tc>
          <w:tcPr>
            <w:tcW w:type="dxa" w:w="1037"/>
            <w:vAlign w:val="center"/>
            <w:shd w:fill="E8EDF1"/>
            <w:tcMar>
              <w:top w:w="75" w:type="dxa"/>
              <w:bottom w:w="75" w:type="dxa"/>
              <w:left w:w="75" w:type="dxa"/>
              <w:right w:w="75" w:type="dxa"/>
            </w:tcMar>
          </w:tcPr>
          <w:p>
            <w:pPr>
              <w:keepNext/>
              <w:spacing w:after="40" w:before="40" w:line="240" w:lineRule="auto"/>
              <w:jc w:val="left"/>
              <w:rPr/>
            </w:pPr>
            <w:r>
              <w:rPr>
                <w:rFonts w:ascii="Times New Roman" w:hAnsi="Times New Roman"/>
                <w:b/>
                <w:color w:val="000000"/>
                <w:sz w:val="16"/>
              </w:rPr>
              <w:t>Train</w:t>
            </w:r>
          </w:p>
        </w:tc>
        <w:tc>
          <w:tcPr>
            <w:tcW w:type="dxa" w:w="1152"/>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Validation</w:t>
            </w:r>
          </w:p>
        </w:tc>
        <w:tc>
          <w:tcPr>
            <w:tcW w:type="dxa" w:w="1037"/>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Test</w:t>
            </w:r>
          </w:p>
        </w:tc>
        <w:tc>
          <w:tcPr>
            <w:tcW w:type="dxa" w:w="2578"/>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Known test</w:t>
            </w:r>
          </w:p>
        </w:tc>
        <w:tc>
          <w:tcPr>
            <w:tcW w:type="dxa" w:w="2578"/>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Unknown D/E</w:t>
            </w:r>
          </w:p>
        </w:tc>
      </w:tr>
      <w:tr>
        <w:trPr>
          <w:cantSplit/>
        </w:trPr>
        <w:tc>
          <w:tcPr>
            <w:tcW w:type="dxa" w:w="979"/>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50,000</w:t>
            </w:r>
          </w:p>
        </w:tc>
        <w:tc>
          <w:tcPr>
            <w:tcW w:type="dxa" w:w="1037"/>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25,000</w:t>
            </w:r>
          </w:p>
        </w:tc>
        <w:tc>
          <w:tcPr>
            <w:tcW w:type="dxa" w:w="1152"/>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10,000</w:t>
            </w:r>
          </w:p>
        </w:tc>
        <w:tc>
          <w:tcPr>
            <w:tcW w:type="dxa" w:w="1037"/>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15,000</w:t>
            </w:r>
          </w:p>
        </w:tc>
        <w:tc>
          <w:tcPr>
            <w:tcW w:type="dxa" w:w="257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14418.6 ± 20.7</w:t>
            </w:r>
          </w:p>
        </w:tc>
        <w:tc>
          <w:tcPr>
            <w:tcW w:type="dxa" w:w="257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581.4 ± 20.7</w:t>
            </w:r>
          </w:p>
        </w:tc>
      </w:tr>
      <w:tr>
        <w:trPr>
          <w:cantSplit/>
        </w:trPr>
        <w:tc>
          <w:tcPr>
            <w:tcW w:type="dxa" w:w="979"/>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100,000</w:t>
            </w:r>
          </w:p>
        </w:tc>
        <w:tc>
          <w:tcPr>
            <w:tcW w:type="dxa" w:w="1037"/>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50,000</w:t>
            </w:r>
          </w:p>
        </w:tc>
        <w:tc>
          <w:tcPr>
            <w:tcW w:type="dxa" w:w="1152"/>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20,000</w:t>
            </w:r>
          </w:p>
        </w:tc>
        <w:tc>
          <w:tcPr>
            <w:tcW w:type="dxa" w:w="1037"/>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30,000</w:t>
            </w:r>
          </w:p>
        </w:tc>
        <w:tc>
          <w:tcPr>
            <w:tcW w:type="dxa" w:w="2578"/>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28849.0 ± 20.7</w:t>
            </w:r>
          </w:p>
        </w:tc>
        <w:tc>
          <w:tcPr>
            <w:tcW w:type="dxa" w:w="2578"/>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1151.0 ± 20.7</w:t>
            </w:r>
          </w:p>
        </w:tc>
      </w:tr>
      <w:tr>
        <w:trPr>
          <w:cantSplit/>
        </w:trPr>
        <w:tc>
          <w:tcPr>
            <w:tcW w:type="dxa" w:w="979"/>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500,000</w:t>
            </w:r>
          </w:p>
        </w:tc>
        <w:tc>
          <w:tcPr>
            <w:tcW w:type="dxa" w:w="1037"/>
            <w:vAlign w:val="center"/>
            <w:shd w:fill="FFFFFF"/>
            <w:tcMar>
              <w:top w:w="75" w:type="dxa"/>
              <w:bottom w:w="75" w:type="dxa"/>
              <w:left w:w="75" w:type="dxa"/>
              <w:right w:w="75" w:type="dxa"/>
            </w:tcMar>
          </w:tcPr>
          <w:p>
            <w:pPr>
              <w:keepNext w:val="0"/>
              <w:spacing w:after="40" w:before="40" w:line="240" w:lineRule="auto"/>
              <w:jc w:val="left"/>
              <w:rPr/>
            </w:pPr>
            <w:r>
              <w:rPr>
                <w:rFonts w:ascii="Times New Roman" w:hAnsi="Times New Roman"/>
                <w:b w:val="0"/>
                <w:color w:val="000000"/>
                <w:sz w:val="16"/>
              </w:rPr>
              <w:t>250,000</w:t>
            </w:r>
          </w:p>
        </w:tc>
        <w:tc>
          <w:tcPr>
            <w:tcW w:type="dxa" w:w="1152"/>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100,000</w:t>
            </w:r>
          </w:p>
        </w:tc>
        <w:tc>
          <w:tcPr>
            <w:tcW w:type="dxa" w:w="1037"/>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150,000</w:t>
            </w:r>
          </w:p>
        </w:tc>
        <w:tc>
          <w:tcPr>
            <w:tcW w:type="dxa" w:w="2578"/>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144273.6 ± 101.5</w:t>
            </w:r>
          </w:p>
        </w:tc>
        <w:tc>
          <w:tcPr>
            <w:tcW w:type="dxa" w:w="2578"/>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5726.4 ± 101.5</w:t>
            </w:r>
          </w:p>
        </w:tc>
      </w:tr>
    </w:tbl>
    <w:p>
      <w:pPr>
        <w:rPr/>
      </w:pPr>
      <w:r>
        <w:t>Note. Each stream contains four equally sized banks. The known-test population includes legitimate events and mechanisms A/B/C; the unknown-test population contains D/E. Their sum equals total test support in every run. No transaction ID overlaps the temporal partitions.</w:t>
      </w:r>
    </w:p>
    <w:p>
      <w:pPr>
        <w:keepNext/>
        <w:spacing w:before="100" w:after="60"/>
        <w:jc w:val="center"/>
        <w:rPr/>
      </w:pPr>
      <w:r>
        <w:drawing>
          <wp:inline xmlns:a="http://schemas.openxmlformats.org/drawingml/2006/main" xmlns:pic="http://schemas.openxmlformats.org/drawingml/2006/picture">
            <wp:extent cx="5943600" cy="3073856"/>
            <wp:docPr id="8" name="Picture 8" descr="Fig. 7 Measured synthetic distribution shift at 500,000 events per stream. (a) Fraud prevalence by bank in training and late test. (b) All-fraud and D/E prevalence by event-rank decile; the dashed line marks the 70% boundary. Points are means and error bars are sample SD across five seeds. These describe the generator, not model performance."/>
            <wp:cNvGraphicFramePr>
              <a:graphicFrameLocks noChangeAspect="1"/>
            </wp:cNvGraphicFramePr>
            <a:graphic>
              <a:graphicData uri="http://schemas.openxmlformats.org/drawingml/2006/picture">
                <pic:pic>
                  <pic:nvPicPr>
                    <pic:cNvPr id="0" name="figure7_distribution.png"/>
                    <pic:cNvPicPr/>
                  </pic:nvPicPr>
                  <pic:blipFill>
                    <a:blip r:embed="rId18"/>
                    <a:stretch>
                      <a:fillRect/>
                    </a:stretch>
                  </pic:blipFill>
                  <pic:spPr>
                    <a:xfrm>
                      <a:off x="0" y="0"/>
                      <a:ext cx="5943600" cy="3073856"/>
                    </a:xfrm>
                    <a:prstGeom prst="rect"/>
                  </pic:spPr>
                </pic:pic>
              </a:graphicData>
            </a:graphic>
          </wp:inline>
        </w:drawing>
      </w:r>
    </w:p>
    <w:p>
      <w:pPr>
        <w:pStyle w:val="Caption"/>
        <w:keepLines/>
        <w:spacing w:after="160"/>
        <w:rPr/>
      </w:pPr>
      <w:r>
        <w:t>Fig. 7 Measured synthetic distribution shift at 500,000 events per stream. (a) Fraud prevalence by bank in training and late test. (b) All-fraud and D/E prevalence by event-rank decile; the dashed line marks the 70% boundary. Points are means and error bars are sample SD across five seeds. These describe the generator, not model performance.</w:t>
      </w:r>
    </w:p>
    <w:p>
      <w:pPr>
        <w:pStyle w:val="Heading2"/>
        <w:rPr/>
      </w:pPr>
      <w:r>
        <w:t>6.2 Executed pooled logistic-regression baselines</w:t>
      </w:r>
    </w:p>
    <w:p>
      <w:pPr>
        <w:rPr/>
      </w:pPr>
      <w:r>
        <w:t>We fitted two centralised logistic-regression model specifications to each synthetic stream; neither is federated nor graph-based. Amount LR uses log(1 + amount). Context LR adds past merchant and device frequencies computed within each bank and three bank indicators. The history features use log[1 + 1,000c/(r + 1)], where c counts prior occurrences of the entity and r counts prior bank events. Current and future events are excluded; earlier unlabelled validation/test events may update history in chronological order. Labels, fraud_type, period, and label-availability fields are excluded from model features. Bank identity is observed context rather than a learned graph representation.</w:t>
      </w:r>
    </w:p>
    <w:p>
      <w:pPr>
        <w:rPr/>
      </w:pPr>
      <w:r>
        <w:t>Within each bank, the first 50% of events form the training partition, the next 20% validation, and the final 30% test. Features are standardised using training means and standard deviations. Both models minimise mean binary cross-entropy plus an L2 penalty of 0.001/2 times the squared non-intercept coefficients. Damped Newton optimisation uses at most 60 iterations and a maximum absolute gradient tolerance of 10^-8; all 30 fits satisfy the recorded convergence check. Hyperparameters and feature sets are fixed across runs. The classification threshold maximises validation F1, choosing the larger threshold in a tie. The known-class test excludes D/E by design; supplementary outputs retain all-late fraud evaluation. Predictions, fitted coefficients, normalisation parameters, and thresholds are saved for every fit.</w:t>
      </w:r>
    </w:p>
    <w:p>
      <w:pPr>
        <w:pStyle w:val="Caption"/>
        <w:keepNext/>
        <w:rPr/>
      </w:pPr>
      <w:r>
        <w:t>Table 7 Trained pooled logistic-regression results for late known fraud A/B/C versus legitimate events. Mean ± sample SD over five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613"/>
        <w:gridCol w:w="1685"/>
        <w:gridCol w:w="1685"/>
        <w:gridCol w:w="1685"/>
        <w:gridCol w:w="1685"/>
      </w:tblGrid>
      <w:tr>
        <w:trPr>
          <w:cantSplit/>
          <w:tblHeader/>
        </w:trPr>
        <w:tc>
          <w:tcPr>
            <w:tcW w:type="dxa" w:w="1008"/>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Events</w:t>
            </w:r>
          </w:p>
        </w:tc>
        <w:tc>
          <w:tcPr>
            <w:tcW w:type="dxa" w:w="1613"/>
            <w:vAlign w:val="center"/>
            <w:shd w:fill="E8EDF1"/>
            <w:tcMar>
              <w:top w:w="75" w:type="dxa"/>
              <w:bottom w:w="75" w:type="dxa"/>
              <w:left w:w="75" w:type="dxa"/>
              <w:right w:w="75" w:type="dxa"/>
            </w:tcMar>
          </w:tcPr>
          <w:p>
            <w:pPr>
              <w:keepNext/>
              <w:spacing w:after="40" w:before="40" w:line="240" w:lineRule="auto"/>
              <w:jc w:val="left"/>
              <w:rPr/>
            </w:pPr>
            <w:r>
              <w:rPr>
                <w:rFonts w:ascii="Times New Roman" w:hAnsi="Times New Roman"/>
                <w:b/>
                <w:color w:val="000000"/>
                <w:sz w:val="16"/>
              </w:rPr>
              <w:t>Model</w:t>
            </w:r>
          </w:p>
        </w:tc>
        <w:tc>
          <w:tcPr>
            <w:tcW w:type="dxa" w:w="1685"/>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AUROC</w:t>
            </w:r>
          </w:p>
        </w:tc>
        <w:tc>
          <w:tcPr>
            <w:tcW w:type="dxa" w:w="1685"/>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AP</w:t>
            </w:r>
          </w:p>
        </w:tc>
        <w:tc>
          <w:tcPr>
            <w:tcW w:type="dxa" w:w="1685"/>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F1</w:t>
            </w:r>
          </w:p>
        </w:tc>
        <w:tc>
          <w:tcPr>
            <w:tcW w:type="dxa" w:w="1685"/>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Brier</w:t>
            </w:r>
          </w:p>
        </w:tc>
      </w:tr>
      <w:tr>
        <w:trPr>
          <w:cantSplit/>
        </w:trPr>
        <w:tc>
          <w:tcPr>
            <w:tcW w:type="dxa" w:w="100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50,000</w:t>
            </w:r>
          </w:p>
        </w:tc>
        <w:tc>
          <w:tcPr>
            <w:tcW w:type="dxa" w:w="1613"/>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Amount LR</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0.553 ± 0.027</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0.027 ± 0.003</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0.054 ± 0.014</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0.0207 ± 0.0011</w:t>
            </w:r>
          </w:p>
        </w:tc>
      </w:tr>
      <w:tr>
        <w:trPr>
          <w:cantSplit/>
        </w:trPr>
        <w:tc>
          <w:tcPr>
            <w:tcW w:type="dxa" w:w="1008"/>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50,000</w:t>
            </w:r>
          </w:p>
        </w:tc>
        <w:tc>
          <w:tcPr>
            <w:tcW w:type="dxa" w:w="1613"/>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Context LR</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0.539 ± 0.006</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0.024 ± 0.002</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0.041 ± 0.006</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0.0208 ± 0.0011</w:t>
            </w:r>
          </w:p>
        </w:tc>
      </w:tr>
      <w:tr>
        <w:trPr>
          <w:cantSplit/>
        </w:trPr>
        <w:tc>
          <w:tcPr>
            <w:tcW w:type="dxa" w:w="100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100,000</w:t>
            </w:r>
          </w:p>
        </w:tc>
        <w:tc>
          <w:tcPr>
            <w:tcW w:type="dxa" w:w="1613"/>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Amount LR</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0.541 ± 0.014</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0.026 ± 0.002</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0.056 ± 0.006</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0.0207 ± 0.0010</w:t>
            </w:r>
          </w:p>
        </w:tc>
      </w:tr>
      <w:tr>
        <w:trPr>
          <w:cantSplit/>
        </w:trPr>
        <w:tc>
          <w:tcPr>
            <w:tcW w:type="dxa" w:w="1008"/>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100,000</w:t>
            </w:r>
          </w:p>
        </w:tc>
        <w:tc>
          <w:tcPr>
            <w:tcW w:type="dxa" w:w="1613"/>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Context LR</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0.506 ± 0.017</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0.021 ± 0.002</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0.033 ± 0.007</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0.0208 ± 0.0010</w:t>
            </w:r>
          </w:p>
        </w:tc>
      </w:tr>
      <w:tr>
        <w:trPr>
          <w:cantSplit/>
        </w:trPr>
        <w:tc>
          <w:tcPr>
            <w:tcW w:type="dxa" w:w="100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500,000</w:t>
            </w:r>
          </w:p>
        </w:tc>
        <w:tc>
          <w:tcPr>
            <w:tcW w:type="dxa" w:w="1613"/>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Amount LR</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0.548 ± 0.006</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0.027 ± 0.001</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0.060 ± 0.002</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0.0212 ± 0.0004</w:t>
            </w:r>
          </w:p>
        </w:tc>
      </w:tr>
      <w:tr>
        <w:trPr>
          <w:cantSplit/>
        </w:trPr>
        <w:tc>
          <w:tcPr>
            <w:tcW w:type="dxa" w:w="1008"/>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500,000</w:t>
            </w:r>
          </w:p>
        </w:tc>
        <w:tc>
          <w:tcPr>
            <w:tcW w:type="dxa" w:w="1613"/>
            <w:vAlign w:val="center"/>
            <w:shd w:fill="F6F7F8"/>
            <w:tcMar>
              <w:top w:w="75" w:type="dxa"/>
              <w:bottom w:w="75" w:type="dxa"/>
              <w:left w:w="75" w:type="dxa"/>
              <w:right w:w="75" w:type="dxa"/>
            </w:tcMar>
          </w:tcPr>
          <w:p>
            <w:pPr>
              <w:keepNext w:val="0"/>
              <w:spacing w:after="40" w:before="40" w:line="240" w:lineRule="auto"/>
              <w:jc w:val="left"/>
              <w:rPr/>
            </w:pPr>
            <w:r>
              <w:rPr>
                <w:rFonts w:ascii="Times New Roman" w:hAnsi="Times New Roman"/>
                <w:b w:val="0"/>
                <w:color w:val="000000"/>
                <w:sz w:val="16"/>
              </w:rPr>
              <w:t>Context LR</w:t>
            </w:r>
          </w:p>
        </w:tc>
        <w:tc>
          <w:tcPr>
            <w:tcW w:type="dxa" w:w="1685"/>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0.515 ± 0.009</w:t>
            </w:r>
          </w:p>
        </w:tc>
        <w:tc>
          <w:tcPr>
            <w:tcW w:type="dxa" w:w="1685"/>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0.022 ± 0.001</w:t>
            </w:r>
          </w:p>
        </w:tc>
        <w:tc>
          <w:tcPr>
            <w:tcW w:type="dxa" w:w="1685"/>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0.037 ± 0.003</w:t>
            </w:r>
          </w:p>
        </w:tc>
        <w:tc>
          <w:tcPr>
            <w:tcW w:type="dxa" w:w="1685"/>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0.0213 ± 0.0004</w:t>
            </w:r>
          </w:p>
        </w:tc>
      </w:tr>
    </w:tbl>
    <w:p>
      <w:pPr>
        <w:rPr/>
      </w:pPr>
      <w:r>
        <w:t>Note. Larger AUROC, AP, and F1 and smaller Brier scores indicate better performance under their respective definitions. The models use identical data partitions, and F1 uses validation-selected thresholds. The Brier score is mean squared probability error without post-hoc recalibration. SD describes between-stream variation and is not a confidence interval. These results evaluate the pooled logistic-regression baselines, not CausalFed-TGNN.</w:t>
      </w:r>
    </w:p>
    <w:p>
      <w:pPr>
        <w:keepNext/>
        <w:spacing w:before="100" w:after="60"/>
        <w:jc w:val="center"/>
        <w:rPr/>
      </w:pPr>
      <w:r>
        <w:drawing>
          <wp:inline xmlns:a="http://schemas.openxmlformats.org/drawingml/2006/main" xmlns:pic="http://schemas.openxmlformats.org/drawingml/2006/picture">
            <wp:extent cx="5943600" cy="3073856"/>
            <wp:docPr id="9" name="Picture 9" descr="Fig. 8 Executed known-class baseline performance across synthetic scales. Points show seed means; error bars show sample SD (five seeds per scale). The dashed AUROC reference is 0.5. Scales are categorical conditions. Context LR adds past entity frequencies and bank indicators; no graph, invariant, federated, or continual-learning module is trained."/>
            <wp:cNvGraphicFramePr>
              <a:graphicFrameLocks noChangeAspect="1"/>
            </wp:cNvGraphicFramePr>
            <a:graphic>
              <a:graphicData uri="http://schemas.openxmlformats.org/drawingml/2006/picture">
                <pic:pic>
                  <pic:nvPicPr>
                    <pic:cNvPr id="0" name="figure8_baselines.png"/>
                    <pic:cNvPicPr/>
                  </pic:nvPicPr>
                  <pic:blipFill>
                    <a:blip r:embed="rId19"/>
                    <a:stretch>
                      <a:fillRect/>
                    </a:stretch>
                  </pic:blipFill>
                  <pic:spPr>
                    <a:xfrm>
                      <a:off x="0" y="0"/>
                      <a:ext cx="5943600" cy="3073856"/>
                    </a:xfrm>
                    <a:prstGeom prst="rect"/>
                  </pic:spPr>
                </pic:pic>
              </a:graphicData>
            </a:graphic>
          </wp:inline>
        </w:drawing>
      </w:r>
    </w:p>
    <w:p>
      <w:pPr>
        <w:pStyle w:val="Caption"/>
        <w:keepLines/>
        <w:spacing w:after="160"/>
        <w:rPr/>
      </w:pPr>
      <w:r>
        <w:t>Fig. 8 Executed known-class baseline performance across synthetic scales. Points show seed means; error bars show sample SD (five seeds per scale). The dashed AUROC reference is 0.5. Scales are categorical conditions. Context LR adds past entity frequencies and bank indicators; no graph, invariant, federated, or continual-learning module is trained.</w:t>
      </w:r>
    </w:p>
    <w:p>
      <w:pPr>
        <w:rPr/>
      </w:pPr>
      <w:r>
        <w:t>Amount LR has a higher mean AUROC and AP than Context LR at every tested scale (Table 7). At 500,000 events, mean F1 is 0.060 for Amount LR and 0.037 for Context LR. Under this synthetic shift and the specified feature construction, the additional history and bank indicators therefore do not improve the mean discrimination of this reference model. The comparison does not isolate individual context features and does not test graph representation learning. No significance claim is made from five generated streams, and results across scales reuse seed identifiers rather than constituting independent replications of real financial populations.</w:t>
      </w:r>
    </w:p>
    <w:p>
      <w:pPr>
        <w:pStyle w:val="Heading2"/>
        <w:rPr/>
      </w:pPr>
      <w:r>
        <w:t>6.3 Unknown-event operating characteristics</w:t>
      </w:r>
    </w:p>
    <w:p>
      <w:pPr>
        <w:rPr/>
      </w:pPr>
      <w:r>
        <w:t>The amount diagnostic provides only limited novelty separation (Table 5; Figure 9). At 500,000 events, the validation-calibrated threshold yields mean D/E recall of 9.55% and a false-positive rate of 6.26% among non-D/E late events. Thus, a nominal 5% upper-tail rule calibrated on validation amounts does not preserve a 5% late-test false-alarm rate after the generator distribution changes. Low unknown recall at this operating point and AUROC close to 0.5 argue against treating amount alone as an effective novelty detector. Energy, margin, and representation-distance scores remain untested because the graph-model representations have not been trained.</w:t>
      </w:r>
    </w:p>
    <w:p>
      <w:pPr>
        <w:keepNext/>
        <w:spacing w:before="100" w:after="60"/>
        <w:jc w:val="center"/>
        <w:rPr/>
      </w:pPr>
      <w:r>
        <w:drawing>
          <wp:inline xmlns:a="http://schemas.openxmlformats.org/drawingml/2006/main" xmlns:pic="http://schemas.openxmlformats.org/drawingml/2006/picture">
            <wp:extent cx="5943600" cy="3073856"/>
            <wp:docPr id="10" name="Picture 10" descr="Fig. 9 Corrected amount-based novelty diagnostics on the late test partition. (a) Unknown AUROC with a 0.5 reference. (b) False-positive rate among non-D/E events and recall of D/E at the threshold fixed from validation amounts. Points show means and error bars sample SD across five seeds. All score ties are evaluated together."/>
            <wp:cNvGraphicFramePr>
              <a:graphicFrameLocks noChangeAspect="1"/>
            </wp:cNvGraphicFramePr>
            <a:graphic>
              <a:graphicData uri="http://schemas.openxmlformats.org/drawingml/2006/picture">
                <pic:pic>
                  <pic:nvPicPr>
                    <pic:cNvPr id="0" name="figure9_novelty.png"/>
                    <pic:cNvPicPr/>
                  </pic:nvPicPr>
                  <pic:blipFill>
                    <a:blip r:embed="rId20"/>
                    <a:stretch>
                      <a:fillRect/>
                    </a:stretch>
                  </pic:blipFill>
                  <pic:spPr>
                    <a:xfrm>
                      <a:off x="0" y="0"/>
                      <a:ext cx="5943600" cy="3073856"/>
                    </a:xfrm>
                    <a:prstGeom prst="rect"/>
                  </pic:spPr>
                </pic:pic>
              </a:graphicData>
            </a:graphic>
          </wp:inline>
        </w:drawing>
      </w:r>
    </w:p>
    <w:p>
      <w:pPr>
        <w:pStyle w:val="Caption"/>
        <w:keepLines/>
        <w:spacing w:after="160"/>
        <w:rPr/>
      </w:pPr>
      <w:r>
        <w:t>Fig. 9 Corrected amount-based novelty diagnostics on the late test partition. (a) Unknown AUROC with a 0.5 reference. (b) False-positive rate among non-D/E events and recall of D/E at the threshold fixed from validation amounts. Points show means and error bars sample SD across five seeds. All score ties are evaluated together.</w:t>
      </w:r>
    </w:p>
    <w:p>
      <w:pPr>
        <w:pStyle w:val="Heading2"/>
        <w:rPr/>
      </w:pPr>
      <w:r>
        <w:t>6.4 Generator validity and reproducibility checks</w:t>
      </w:r>
    </w:p>
    <w:p>
      <w:pPr>
        <w:pStyle w:val="Caption"/>
        <w:keepNext/>
        <w:rPr/>
      </w:pPr>
      <w:r>
        <w:t>Table 8 Executed data checks and scope of the synthetic evidence.</w:t>
      </w:r>
      <w:r/>
      <w:r>
        <w:rPr>
          <w:rStyle w:val="CommentReference"/>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528"/>
        <w:gridCol w:w="4032"/>
      </w:tblGrid>
      <w:tr>
        <w:trPr>
          <w:cantSplit/>
          <w:tblHeader/>
        </w:trPr>
        <w:tc>
          <w:tcPr>
            <w:tcW w:type="dxa" w:w="1800"/>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Check</w:t>
            </w:r>
          </w:p>
        </w:tc>
        <w:tc>
          <w:tcPr>
            <w:tcW w:type="dxa" w:w="3528"/>
            <w:vAlign w:val="center"/>
            <w:shd w:fill="E8EDF1"/>
            <w:tcMar>
              <w:top w:w="75" w:type="dxa"/>
              <w:bottom w:w="75" w:type="dxa"/>
              <w:left w:w="75" w:type="dxa"/>
              <w:right w:w="75" w:type="dxa"/>
            </w:tcMar>
          </w:tcPr>
          <w:p>
            <w:pPr>
              <w:keepNext/>
              <w:spacing w:after="40" w:before="40" w:line="240" w:lineRule="auto"/>
              <w:jc w:val="left"/>
              <w:rPr/>
            </w:pPr>
            <w:r>
              <w:rPr>
                <w:rFonts w:ascii="Times New Roman" w:hAnsi="Times New Roman"/>
                <w:b/>
                <w:color w:val="000000"/>
                <w:sz w:val="16"/>
              </w:rPr>
              <w:t>Observed result</w:t>
            </w:r>
          </w:p>
        </w:tc>
        <w:tc>
          <w:tcPr>
            <w:tcW w:type="dxa" w:w="4032"/>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Scientific implication</w:t>
            </w:r>
          </w:p>
        </w:tc>
      </w:tr>
      <w:tr>
        <w:trPr>
          <w:cantSplit/>
        </w:trPr>
        <w:tc>
          <w:tcPr>
            <w:tcW w:type="dxa" w:w="1800"/>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Input integrity</w:t>
            </w:r>
          </w:p>
        </w:tc>
        <w:tc>
          <w:tcPr>
            <w:tcW w:type="dxa" w:w="3528"/>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15/15 CSV hashes match the existing manifest</w:t>
            </w:r>
          </w:p>
        </w:tc>
        <w:tc>
          <w:tcPr>
            <w:tcW w:type="dxa" w:w="4032"/>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Identifies the exact analysed data; does not certify realism</w:t>
            </w:r>
          </w:p>
        </w:tc>
      </w:tr>
      <w:tr>
        <w:trPr>
          <w:cantSplit/>
        </w:trPr>
        <w:tc>
          <w:tcPr>
            <w:tcW w:type="dxa" w:w="1800"/>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Split leakage</w:t>
            </w:r>
          </w:p>
        </w:tc>
        <w:tc>
          <w:tcPr>
            <w:tcW w:type="dxa" w:w="3528"/>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No D/E in train or validation; unique transaction IDs; strictly separated timestamps</w:t>
            </w:r>
          </w:p>
        </w:tc>
        <w:tc>
          <w:tcPr>
            <w:tcW w:type="dxa" w:w="4032"/>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Supports the temporal partition used in these new runs</w:t>
            </w:r>
          </w:p>
        </w:tc>
      </w:tr>
      <w:tr>
        <w:trPr>
          <w:cantSplit/>
        </w:trPr>
        <w:tc>
          <w:tcPr>
            <w:tcW w:type="dxa" w:w="1800"/>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Event spacing</w:t>
            </w:r>
          </w:p>
        </w:tc>
        <w:tc>
          <w:tcPr>
            <w:tcW w:type="dxa" w:w="3528"/>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1,440 minutes between consecutive events within every bank</w:t>
            </w:r>
          </w:p>
        </w:tc>
        <w:tc>
          <w:tcPr>
            <w:tcW w:type="dxa" w:w="4032"/>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Current data cannot test sensitivity to varying elapsed-time gaps</w:t>
            </w:r>
          </w:p>
        </w:tc>
      </w:tr>
      <w:tr>
        <w:trPr>
          <w:cantSplit/>
        </w:trPr>
        <w:tc>
          <w:tcPr>
            <w:tcW w:type="dxa" w:w="1800"/>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Source row order</w:t>
            </w:r>
          </w:p>
        </w:tc>
        <w:tc>
          <w:tcPr>
            <w:tcW w:type="dxa" w:w="3528"/>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Bank-major; not globally chronological</w:t>
            </w:r>
          </w:p>
        </w:tc>
        <w:tc>
          <w:tcPr>
            <w:tcW w:type="dxa" w:w="4032"/>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Explicit bank/time sorting is required before analysis</w:t>
            </w:r>
          </w:p>
        </w:tc>
      </w:tr>
      <w:tr>
        <w:trPr>
          <w:cantSplit/>
        </w:trPr>
        <w:tc>
          <w:tcPr>
            <w:tcW w:type="dxa" w:w="1800"/>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Fraud-rate control</w:t>
            </w:r>
          </w:p>
        </w:tc>
        <w:tc>
          <w:tcPr>
            <w:tcW w:type="dxa" w:w="3528"/>
            <w:vAlign w:val="center"/>
            <w:shd w:fill="FFFFFF"/>
            <w:tcMar>
              <w:top w:w="75" w:type="dxa"/>
              <w:bottom w:w="75" w:type="dxa"/>
              <w:left w:w="75" w:type="dxa"/>
              <w:right w:w="75" w:type="dxa"/>
            </w:tcMar>
          </w:tcPr>
          <w:p>
            <w:pPr>
              <w:keepNext w:val="0"/>
              <w:spacing w:after="40" w:before="40" w:line="240" w:lineRule="auto"/>
              <w:jc w:val="left"/>
              <w:rPr/>
            </w:pPr>
            <w:r>
              <w:rPr>
                <w:rFonts w:ascii="Times New Roman" w:hAnsi="Times New Roman"/>
                <w:b w:val="0"/>
                <w:color w:val="000000"/>
                <w:sz w:val="16"/>
              </w:rPr>
              <w:t>Observed prevalence near 3.83%; generator argument defaults to 1.2%</w:t>
            </w:r>
          </w:p>
        </w:tc>
        <w:tc>
          <w:tcPr>
            <w:tcW w:type="dxa" w:w="4032"/>
            <w:vAlign w:val="center"/>
            <w:shd w:fill="FFFFFF"/>
            <w:tcMar>
              <w:top w:w="75" w:type="dxa"/>
              <w:bottom w:w="75" w:type="dxa"/>
              <w:left w:w="75" w:type="dxa"/>
              <w:right w:w="75" w:type="dxa"/>
            </w:tcMar>
          </w:tcPr>
          <w:p>
            <w:pPr>
              <w:keepNext w:val="0"/>
              <w:spacing w:after="40" w:before="40" w:line="240" w:lineRule="auto"/>
              <w:jc w:val="left"/>
              <w:rPr/>
            </w:pPr>
            <w:r>
              <w:rPr>
                <w:rFonts w:ascii="Times New Roman" w:hAnsi="Times New Roman"/>
                <w:b w:val="0"/>
                <w:color w:val="000000"/>
                <w:sz w:val="16"/>
              </w:rPr>
              <w:t>Argument is an offset to risk, not an achieved prevalence target</w:t>
            </w:r>
          </w:p>
        </w:tc>
      </w:tr>
    </w:tbl>
    <w:p>
      <w:pPr>
        <w:rPr/>
      </w:pPr>
      <w:r>
        <w:t>Note. Checks are recorded for each of the 15 streams. The source generator and historical manifests remain unchanged. The analysis code validates ranking direction, score ties, split separation, and model convergence before results are reported.</w:t>
      </w:r>
    </w:p>
    <w:p>
      <w:pPr>
        <w:rPr/>
      </w:pPr>
      <w:r>
        <w:t>The timestamp construction advances each bank by exactly one day per event, even though the generator includes a parameter named burstiness. That parameter affects the amount-generating process rather than inter-event timing. The present experiment therefore measures a controlled event-rank shift, not realistic burst timing or elapsed-time robustness. The four synthetic bank identities are explicit experimental environments rather than independently sampled financial institutions. Generator redesign and external data are required before claims about operational temporal-graph behaviour can be evaluated.</w:t>
      </w:r>
    </w:p>
    <w:p>
      <w:pPr>
        <w:pStyle w:val="Heading2"/>
        <w:keepNext/>
        <w:keepLines/>
        <w:spacing w:before="160" w:after="60" w:line="240" w:lineRule="auto"/>
        <w:jc w:val="left"/>
        <w:widowControl/>
      </w:pPr>
      <w:r>
        <w:t>6.5 Outstanding empirical validation</w:t>
      </w:r>
      <w:r/>
      <w:r>
        <w:rPr>
          <w:rStyle w:val="CommentReference"/>
        </w:rPr>
      </w:r>
    </w:p>
    <w:p>
      <w:pPr>
        <w:spacing w:before="0" w:after="60" w:line="252" w:lineRule="auto"/>
        <w:jc w:val="left"/>
        <w:widowControl/>
      </w:pPr>
      <w:r>
        <w:t>Completed evidence now comprises the hash/split audit, corrected amount diagnostics, and two pooled logistic-regression model specifications fitted across 15 synthetic streams. The neural comparator grid, graph-model ablations, trained-representation novelty scores, federated optimisation, adversarial robustness, continual adaptation, and public-data validation remain pending or blocked (Table 9). The executed reference models do not complete those evidence blocks.</w:t>
      </w:r>
    </w:p>
    <w:p>
      <w:pPr>
        <w:pStyle w:val="Caption"/>
        <w:keepNext/>
        <w:spacing w:before="80" w:after="40" w:line="240" w:lineRule="auto"/>
        <w:jc w:val="left"/>
        <w:widowControl/>
      </w:pPr>
      <w:r>
        <w:t>Table 9 Empirical completion gates and current evidence status.</w:t>
      </w:r>
    </w:p>
    <w:tbl>
      <w:tblPr>
        <w:tblStyle w:val="TableGrid"/>
        <w:tblW w:type="pct" w:w="5000"/>
        <w:jc w:val="center"/>
        <w:tblLayout w:type="autofit"/>
        <w:tblLook w:firstColumn="1" w:firstRow="1" w:lastColumn="0" w:lastRow="0" w:noHBand="0" w:noVBand="1" w:val="04A0"/>
      </w:tblPr>
      <w:tblGrid>
        <w:gridCol w:w="3213"/>
        <w:gridCol w:w="3213"/>
        <w:gridCol w:w="3213"/>
      </w:tblGrid>
      <w:tr>
        <w:trPr>
          <w:tblHeader w:val="true"/>
          <w:cantSplit/>
        </w:trPr>
        <w:tc>
          <w:tcPr>
            <w:tcW w:type="dxa" w:w="2232"/>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Evidence block</w:t>
            </w:r>
          </w:p>
        </w:tc>
        <w:tc>
          <w:tcPr>
            <w:tcW w:type="dxa" w:w="496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Completion criterion</w:t>
            </w:r>
          </w:p>
        </w:tc>
        <w:tc>
          <w:tcPr>
            <w:tcW w:type="dxa" w:w="2232"/>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Current state</w:t>
            </w:r>
          </w:p>
        </w:tc>
      </w:tr>
      <w:tr>
        <w:trPr>
          <w:cantSplit/>
        </w:trPr>
        <w:tc>
          <w:tcPr>
            <w:tcW w:type="dxa" w:w="3213"/>
            <w:vAlign w:val="center"/>
            <w:tcMar>
              <w:top w:w="40" w:type="dxa"/>
              <w:start w:w="60" w:type="dxa"/>
              <w:bottom w:w="40" w:type="dxa"/>
              <w:end w:w="60" w:type="dxa"/>
            </w:tcMar>
          </w:tcPr>
          <w:p>
            <w:r>
              <w:rPr>
                <w:rFonts w:ascii="Times New Roman" w:hAnsi="Times New Roman" w:eastAsia="Times New Roman"/>
                <w:sz w:val="18"/>
              </w:rPr>
              <w:t>Scale / provenance</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15/15 hashed records across three scales</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PASS</w:t>
            </w:r>
          </w:p>
        </w:tc>
      </w:tr>
      <w:tr>
        <w:trPr>
          <w:cantSplit/>
        </w:trPr>
        <w:tc>
          <w:tcPr>
            <w:tcW w:type="dxa" w:w="3213"/>
            <w:vAlign w:val="center"/>
            <w:tcMar>
              <w:top w:w="40" w:type="dxa"/>
              <w:start w:w="60" w:type="dxa"/>
              <w:bottom w:w="40" w:type="dxa"/>
              <w:end w:w="60" w:type="dxa"/>
            </w:tcMar>
          </w:tcPr>
          <w:p>
            <w:r>
              <w:rPr>
                <w:rFonts w:ascii="Times New Roman" w:hAnsi="Times New Roman" w:eastAsia="Times New Roman"/>
                <w:sz w:val="18"/>
              </w:rPr>
              <w:t>Neural/graph baselines and ablations</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All models × seeds under the common temporal split</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PENDING</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PaySim</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Verified checksum, schema checks, graph construction, model run</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BLOCKED / partial transfer</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IEEE-CIS</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Authorized acquisition, schema checks, graph construction, model run</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BLOCKED / authentication</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Adversarial evaluation</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Full attack grid with per-round logs</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PENDING</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Manuscript provenance</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Status labels consistent with structured artifacts</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sz w:val="18"/>
              </w:rPr>
              <w:t>PARTIAL / new results traced; legacy artwork retained</w:t>
            </w:r>
          </w:p>
        </w:tc>
      </w:tr>
      <w:tr>
        <w:trPr>
          <w:cantSplit/>
        </w:trPr>
        <w:tc>
          <w:tcPr>
            <w:tcW w:type="dxa" w:w="3213"/>
          </w:tcPr>
          <w:p>
            <w:pPr>
              <w:keepNext/>
              <w:rPr/>
            </w:pPr>
            <w:r>
              <w:rPr>
                <w:rFonts w:ascii="Times New Roman" w:hAnsi="Times New Roman" w:eastAsia="Times New Roman"/>
                <w:sz w:val="18"/>
              </w:rPr>
              <w:t>Pooled logistic baselines</w:t>
            </w:r>
          </w:p>
        </w:tc>
        <w:tc>
          <w:tcPr>
            <w:tcW w:type="dxa" w:w="3213"/>
          </w:tcPr>
          <w:p>
            <w:pPr>
              <w:keepNext/>
              <w:rPr/>
            </w:pPr>
            <w:r>
              <w:rPr>
                <w:rFonts w:ascii="Times New Roman" w:hAnsi="Times New Roman" w:eastAsia="Times New Roman"/>
                <w:sz w:val="18"/>
              </w:rPr>
              <w:t>2 models × 15 synthetic streams; saved fits and predictions</w:t>
            </w:r>
          </w:p>
        </w:tc>
        <w:tc>
          <w:tcPr>
            <w:tcW w:type="dxa" w:w="3213"/>
          </w:tcPr>
          <w:p>
            <w:pPr>
              <w:keepNext/>
              <w:rPr/>
            </w:pPr>
            <w:r>
              <w:rPr>
                <w:rFonts w:ascii="Times New Roman" w:hAnsi="Times New Roman" w:eastAsia="Times New Roman"/>
                <w:sz w:val="18"/>
              </w:rPr>
              <w:t>COMPLETE / synthetic only</w:t>
            </w:r>
          </w:p>
        </w:tc>
      </w:tr>
      <w:tr>
        <w:trPr>
          <w:cantSplit/>
        </w:trPr>
        <w:tc>
          <w:tcPr>
            <w:tcW w:type="dxa" w:w="3213"/>
          </w:tcPr>
          <w:p>
            <w:pPr>
              <w:keepNext w:val="0"/>
              <w:rPr/>
            </w:pPr>
            <w:r>
              <w:rPr>
                <w:rFonts w:ascii="Times New Roman" w:hAnsi="Times New Roman" w:eastAsia="Times New Roman"/>
                <w:sz w:val="18"/>
              </w:rPr>
              <w:t>Corrected novelty diagnostics</w:t>
            </w:r>
          </w:p>
        </w:tc>
        <w:tc>
          <w:tcPr>
            <w:tcW w:type="dxa" w:w="3213"/>
          </w:tcPr>
          <w:p>
            <w:pPr>
              <w:keepNext w:val="0"/>
              <w:rPr/>
            </w:pPr>
            <w:r>
              <w:rPr>
                <w:rFonts w:ascii="Times New Roman" w:hAnsi="Times New Roman" w:eastAsia="Times New Roman"/>
                <w:sz w:val="18"/>
              </w:rPr>
              <w:t>Disjoint validation/test; tie-aware metrics</w:t>
            </w:r>
          </w:p>
        </w:tc>
        <w:tc>
          <w:tcPr>
            <w:tcW w:type="dxa" w:w="3213"/>
          </w:tcPr>
          <w:p>
            <w:pPr>
              <w:keepNext w:val="0"/>
              <w:rPr/>
            </w:pPr>
            <w:r>
              <w:rPr>
                <w:rFonts w:ascii="Times New Roman" w:hAnsi="Times New Roman" w:eastAsia="Times New Roman"/>
                <w:sz w:val="18"/>
              </w:rPr>
              <w:t>COMPLETE / amount proxy</w:t>
            </w:r>
          </w:p>
        </w:tc>
      </w:tr>
    </w:tbl>
    <w:p>
      <w:pPr>
        <w:spacing w:before="0" w:after="60" w:line="252" w:lineRule="auto"/>
        <w:jc w:val="left"/>
        <w:widowControl/>
      </w:pPr>
      <w:r>
        <w:rPr>
          <w:rFonts w:ascii="Times New Roman" w:hAnsi="Times New Roman" w:eastAsia="Times New Roman" w:cs="Times New Roman"/>
          <w:b/>
          <w:color w:val="000000"/>
          <w:sz w:val="20"/>
        </w:rPr>
        <w:t>Note. PENDING/BLOCKED states are retained as explicit evidence boundaries and must be replaced only by traceable run records from the final protocol; values from earlier manuscript versions are not treated as current evidence.</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7. Discussion</w:t>
      </w:r>
    </w:p>
    <w:p>
      <w:pPr>
        <w:spacing w:after="60" w:line="252" w:lineRule="auto" w:before="0"/>
        <w:ind/>
        <w:jc w:val="left"/>
        <w:widowControl/>
      </w:pPr>
      <w:r>
        <w:rPr>
          <w:rFonts w:ascii="Times New Roman" w:hAnsi="Times New Roman" w:eastAsia="Times New Roman" w:cs="Times New Roman"/>
          <w:b w:val="0"/>
          <w:i w:val="0"/>
          <w:color w:val="000000"/>
          <w:sz w:val="20"/>
        </w:rPr>
        <w:t>The current revision separates evaluation objects that are otherwise easy to conflate. Known-class fraud probability and unknown-event novelty use different scores and threshold policies; invariant learning is treated as a predictive regulariser rather than causal identification; federated robustness is separated from privacy and security guarantees; and protocol diagnostics are separated from trained-model evidence. This distinction is important because an improvement in one objective cannot be assumed to transfer to another.</w:t>
      </w:r>
    </w:p>
    <w:p>
      <w:pPr>
        <w:spacing w:after="60" w:line="252" w:lineRule="auto" w:before="0"/>
        <w:ind/>
        <w:jc w:val="left"/>
        <w:widowControl/>
      </w:pPr>
      <w:r>
        <w:t>The executed baselines use chronological splits, a held-out mechanism set, training-only normalisation, and validation-only thresholds. Their weak discrimination, together with the failure of the context specification to improve on amount alone, shows that these particular low-capacity feature sets are insufficient under the imposed synthetic shift. This result does not establish that graph learning, invariant regularisation, or federated optimisation will resolve the observed limitations; each component requires a separate matched experiment.</w:t>
      </w:r>
    </w:p>
    <w:p>
      <w:pPr>
        <w:spacing w:after="60" w:line="252" w:lineRule="auto" w:before="0"/>
        <w:ind/>
        <w:jc w:val="left"/>
        <w:widowControl/>
      </w:pPr>
      <w:r>
        <w:rPr>
          <w:rFonts w:ascii="Times New Roman" w:hAnsi="Times New Roman" w:eastAsia="Times New Roman" w:cs="Times New Roman"/>
          <w:b w:val="0"/>
          <w:i w:val="0"/>
          <w:color w:val="000000"/>
          <w:sz w:val="20"/>
        </w:rPr>
        <w:t>The invariant branch remains a central hypothesis rather than an established benefit. Multi-environment regularisation may reduce institution-specific shortcuts and improve transfer under distribution shift, but it may also suppress useful local signal, become unstable when environments are weakly separated, or simply relocate nuisance information into another representation. Likewise, greater sensitivity to novel events can increase false alarms. The invariant/environment branches and novelty mechanisms therefore require multi-seed ablations and explicit operating-point analysis.</w:t>
      </w:r>
    </w:p>
    <w:p>
      <w:pPr>
        <w:spacing w:after="60" w:line="252" w:lineRule="auto" w:before="0"/>
        <w:ind/>
        <w:jc w:val="left"/>
        <w:widowControl/>
      </w:pPr>
      <w:r>
        <w:rPr>
          <w:rFonts w:ascii="Times New Roman" w:hAnsi="Times New Roman" w:eastAsia="Times New Roman" w:cs="Times New Roman"/>
          <w:b w:val="0"/>
          <w:i w:val="0"/>
          <w:color w:val="000000"/>
          <w:sz w:val="20"/>
        </w:rPr>
        <w:t>Open-set deployment introduces a direct false-alarm trade-off. Increasing sensitivity to novel fraud can route more legitimate but unusual transactions for review, and threshold choices may behave differently across institutions with different prevalence and investigation costs. Reporting FPR95, score distributions, per-client performance, and calibrated operating points is therefore necessary to determine whether novelty detection is operationally useful rather than merely rank-consistent.</w:t>
      </w:r>
    </w:p>
    <w:p>
      <w:pPr>
        <w:spacing w:after="60" w:line="252" w:lineRule="auto" w:before="0"/>
        <w:ind/>
        <w:jc w:val="left"/>
        <w:widowControl/>
      </w:pPr>
      <w:r>
        <w:rPr>
          <w:rFonts w:ascii="Times New Roman" w:hAnsi="Times New Roman" w:eastAsia="Times New Roman" w:cs="Times New Roman"/>
          <w:b w:val="0"/>
          <w:i w:val="0"/>
          <w:color w:val="000000"/>
          <w:sz w:val="20"/>
        </w:rPr>
        <w:t>Synthetic-to-real transfer is the principal external-validity risk. Controlled synthetic data are useful for deterministic mechanism holdouts and attack injection, but real transaction datasets introduce missingness, schema ambiguity, incomplete entity linkage, label noise, institution-specific prevalence, and computational constraints that are difficult to reproduce synthetically. Public-data validation is therefore required before generalising beyond the controlled protocol.</w:t>
      </w:r>
    </w:p>
    <w:p>
      <w:pPr>
        <w:spacing w:after="60" w:line="252" w:lineRule="auto" w:before="0"/>
        <w:ind/>
        <w:jc w:val="left"/>
        <w:widowControl/>
      </w:pPr>
      <w:r>
        <w:rPr>
          <w:rFonts w:ascii="Times New Roman" w:hAnsi="Times New Roman" w:eastAsia="Times New Roman" w:cs="Times New Roman"/>
          <w:b w:val="0"/>
          <w:i w:val="0"/>
          <w:color w:val="000000"/>
          <w:sz w:val="20"/>
        </w:rPr>
        <w:t>Deployment conclusions must also keep robustness, privacy, and security distinct. A robust aggregation rule may reduce the effect of some malicious updates yet still leak information or fail under collusion; similarly, keeping raw data local does not establish differential privacy. Future deployment studies should report these dimensions independently, together with institution-specific thresholds, investigation capacity, and rollback procedures.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8. Limitations</w:t>
      </w:r>
    </w:p>
    <w:p>
      <w:pPr>
        <w:spacing w:after="60" w:line="252" w:lineRule="auto" w:before="0"/>
        <w:ind/>
        <w:jc w:val="left"/>
        <w:widowControl/>
      </w:pPr>
      <w:r>
        <w:t>Several limitations constrain interpretation. First, the executed models are two pooled logistic-regression reference specifications on synthetic data; the proposed neural graph model, federated comparisons, component ablations, and adversarial/continual experiments remain pending. Second, fixed daily event gaps prevent evaluation of temporal burst handling. Third, unknown mechanisms are defined by the same generator that assigns labels, which limits external validity. Fourth, the known-class test deliberately excludes D/E and therefore evaluates a different population from all-fraud screening. Fifth, PaySim acquisition and IEEE-CIS authorisation remain incomplete in the available evidence.</w:t>
      </w:r>
    </w:p>
    <w:p>
      <w:pPr>
        <w:spacing w:after="60" w:line="252" w:lineRule="auto" w:before="0"/>
        <w:ind/>
        <w:jc w:val="left"/>
        <w:widowControl/>
      </w:pPr>
      <w:r>
        <w:rPr>
          <w:rFonts w:ascii="Times New Roman" w:hAnsi="Times New Roman" w:eastAsia="Times New Roman" w:cs="Times New Roman"/>
          <w:b w:val="0"/>
          <w:i w:val="0"/>
          <w:color w:val="000000"/>
          <w:sz w:val="20"/>
        </w:rPr>
        <w:t>Sixth, the method does not implement causal discovery, intervention modelling, or causal-effect estimation despite the historical project name. Seventh, no differential-privacy accountant or secure-aggregation implementation is present, and parameter exchange alone does not establish privacy. Eighth, robust aggregation can fail under adaptive or coordinated attacks and should not be described as a universal security defence. Ninth, explanation methods can be unstable, incomplete, or sensitive to perturbation and should be treated as summaries of model behaviour rather than ground truth.</w:t>
      </w:r>
    </w:p>
    <w:p>
      <w:pPr>
        <w:spacing w:after="60" w:line="252" w:lineRule="auto" w:before="0"/>
        <w:ind/>
        <w:jc w:val="left"/>
        <w:widowControl/>
      </w:pPr>
      <w:r>
        <w:t>The open-set conclusions are limited to raw amount as a diagnostic proxy; energy, margin, and learned prototype distances remain untested. Continual adaptation can introduce forgetting, confirmation bias, or attack amplification and has not been evaluated. The reported sample SD describes variation across five synthetic seeds without confidence intervals, hypothesis tests, or claims of independent real-world replication. Finally, the architecture diagrams are conceptual and do not constitute evidence that the depicted modules have been implemented or validated.</w:t>
      </w:r>
    </w:p>
    <w:p>
      <w:pPr>
        <w:spacing w:after="60" w:line="252" w:lineRule="auto" w:before="0"/>
        <w:ind/>
        <w:jc w:val="left"/>
        <w:widowControl/>
      </w:pPr>
      <w:r>
        <w:rPr>
          <w:rFonts w:ascii="Times New Roman" w:hAnsi="Times New Roman" w:eastAsia="Times New Roman" w:cs="Times New Roman"/>
          <w:b w:val="0"/>
          <w:i w:val="0"/>
          <w:color w:val="000000"/>
          <w:sz w:val="20"/>
        </w:rPr>
        <w:t>These limitations define the boundary between a reproducible research protocol and a completed empirical validation. Addressing them requires new experiments or author-supplied implementation details rather than stronger editorial wording.</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9. Conclusion</w:t>
      </w:r>
    </w:p>
    <w:p>
      <w:pPr>
        <w:spacing w:after="60" w:line="252" w:lineRule="auto" w:before="0"/>
        <w:ind/>
        <w:jc w:val="left"/>
        <w:widowControl/>
      </w:pPr>
      <w:r>
        <w:t>CausalFed-TGNN defines an integrated protocol for federated heterogeneous temporal graph fraud detection. The present execution contributes 30 pooled logistic-regression fits, corrected amount-based novelty diagnostics, and reproducible data checks across 15 synthetic streams. Discrimination remains weak, the tested context features do not improve the amount-only reference model on mean AUROC or AP, and fixed event spacing limits temporal claims. These findings provide an auditable baseline and identify protocol revisions required before the proposed architecture can be evaluated credibly. They do not validate the heterogeneous graph model, invariant learning, federated robustness, continual adaptation, or public-data generalisation.</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Data, Code, and Reproducibility Statement</w:t>
      </w:r>
    </w:p>
    <w:p>
      <w:pPr>
        <w:spacing w:after="60" w:line="252" w:lineRule="auto" w:before="0"/>
        <w:ind/>
        <w:jc w:val="left"/>
        <w:widowControl/>
      </w:pPr>
      <w:r>
        <w:t>The accompanying package contains run_analysis.py, make_figures.py, and update_manuscript.py; per-seed result CSVs; fitted logistic coefficients and normalisation parameters; late-test predictions; vector figure masters; and ANALYSIS_MANIFEST.json. The manifest records input hashes, code hash, software versions, split rules, threshold policies, convergence checks, and output hashes. The existing synthetic generator, input CSVs, and historical manifest are preserved. Reproduction requires the 15 hash-matched input streams. No public-data result or trained CausalFed-TGNN checkpoint is included.</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Ethics and Privacy Statement</w:t>
      </w:r>
    </w:p>
    <w:p>
      <w:pPr>
        <w:spacing w:after="60" w:line="252" w:lineRule="auto" w:before="0"/>
        <w:ind/>
        <w:jc w:val="left"/>
        <w:widowControl/>
      </w:pPr>
      <w:r>
        <w:rPr>
          <w:rFonts w:ascii="Times New Roman" w:hAnsi="Times New Roman" w:eastAsia="Times New Roman" w:cs="Times New Roman"/>
          <w:b w:val="0"/>
          <w:i w:val="0"/>
          <w:color w:val="000000"/>
          <w:sz w:val="20"/>
        </w:rPr>
        <w:t>The completed scale audit uses synthetic financial transactions and does not rely on real customer records. The federated design keeps raw institutional records local, but model updates can still expose information. Deployment with real financial data would therefore require institution-specific governance, threat modelling, privacy protection, access control, audit logging, and regulatory/compliance review beyond the present experimental protocol.</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References</w:t>
      </w:r>
      <w:r>
        <w:rPr>
          <w:rFonts w:ascii="Times New Roman" w:hAnsi="Times New Roman" w:eastAsia="Times New Roman" w:cs="Times New Roman"/>
          <w:b/>
          <w:i w:val="0"/>
          <w:color w:val="1F4E79"/>
          <w:sz w:val="26"/>
        </w:rPr>
      </w:r>
    </w:p>
    <w:p>
      <w:pPr>
        <w:spacing w:after="60" w:line="252" w:lineRule="auto" w:before="0"/>
        <w:ind w:left="312"/>
        <w:jc w:val="left"/>
        <w:widowControl/>
      </w:pPr>
      <w:r>
        <w:rPr>
          <w:rFonts w:ascii="Times New Roman" w:hAnsi="Times New Roman" w:eastAsia="Times New Roman" w:cs="Times New Roman"/>
          <w:color w:val="000000"/>
          <w:sz w:val="20"/>
        </w:rPr>
        <w:t>[1] Andrea Dal Pozzolo, Giacomo Boracchi, Olivier Caelen, Cesare Alippi, Gianluca Bontempi. Credit Card Fraud Detection: A Realistic Modeling and a Novel Learning Strategy. IEEE Transactions on Neural Networks and Learning Systems, 2018.</w:t>
      </w:r>
    </w:p>
    <w:p>
      <w:pPr>
        <w:spacing w:after="60" w:line="252" w:lineRule="auto" w:before="0"/>
        <w:ind w:left="312"/>
        <w:jc w:val="left"/>
        <w:widowControl/>
      </w:pPr>
      <w:r>
        <w:rPr>
          <w:rFonts w:ascii="Times New Roman" w:hAnsi="Times New Roman" w:eastAsia="Times New Roman" w:cs="Times New Roman"/>
          <w:color w:val="000000"/>
          <w:sz w:val="20"/>
        </w:rPr>
        <w:t>[2] Johannes Jurgovsky, Michael Granitzer, Konstantin Ziegler, Sylvie Calabretto, Pierre-Edouard Portier et al. Sequence classification for credit-card fraud detection. Expert Systems with Applications, 2018.</w:t>
      </w:r>
    </w:p>
    <w:p>
      <w:pPr>
        <w:spacing w:after="60" w:line="252" w:lineRule="auto" w:before="0"/>
        <w:ind w:left="312"/>
        <w:jc w:val="left"/>
        <w:widowControl/>
      </w:pPr>
      <w:r>
        <w:rPr>
          <w:rFonts w:ascii="Times New Roman" w:hAnsi="Times New Roman" w:eastAsia="Times New Roman" w:cs="Times New Roman"/>
          <w:color w:val="000000"/>
          <w:sz w:val="20"/>
        </w:rPr>
        <w:t>[3] Andrea Dal Pozzolo, Olivier Caelen, Yann-Aël Le Borgne, Serge Waterschoot, Gianluca Bontempi. Learned lessons in credit card fraud detection from a practitioner perspective. Expert Systems with Applications, 2014.</w:t>
      </w:r>
    </w:p>
    <w:p>
      <w:pPr>
        <w:spacing w:after="60" w:line="252" w:lineRule="auto" w:before="0"/>
        <w:ind w:left="312"/>
        <w:jc w:val="left"/>
        <w:widowControl/>
      </w:pPr>
      <w:r>
        <w:rPr>
          <w:rFonts w:ascii="Times New Roman" w:hAnsi="Times New Roman" w:eastAsia="Times New Roman" w:cs="Times New Roman"/>
          <w:color w:val="000000"/>
          <w:sz w:val="20"/>
        </w:rPr>
        <w:t>[4] Kushankur Ghosh, Colin Bellinger, Roberto Corizzo, Paula Branco, Bartosz Krawczyk et al. The class imbalance problem in deep learning. Machine Learning, 2022.</w:t>
      </w:r>
    </w:p>
    <w:p>
      <w:pPr>
        <w:spacing w:after="60" w:line="252" w:lineRule="auto" w:before="0"/>
        <w:ind w:left="312"/>
        <w:jc w:val="left"/>
        <w:widowControl/>
      </w:pPr>
      <w:r>
        <w:rPr>
          <w:rFonts w:ascii="Times New Roman" w:hAnsi="Times New Roman" w:eastAsia="Times New Roman" w:cs="Times New Roman"/>
          <w:color w:val="000000"/>
          <w:sz w:val="20"/>
        </w:rPr>
        <w:t>[5] Takaya Saito, Marc Rehmsmeier. The Precision-Recall Plot Is More Informative than the ROC Plot When Evaluating Binary Classifiers on Imbalanced Datasets. PLOS ONE, 2015.</w:t>
      </w:r>
    </w:p>
    <w:p>
      <w:pPr>
        <w:spacing w:after="60" w:line="252" w:lineRule="auto" w:before="0"/>
        <w:ind w:left="312"/>
        <w:jc w:val="left"/>
        <w:widowControl/>
      </w:pPr>
      <w:r>
        <w:rPr>
          <w:rFonts w:ascii="Times New Roman" w:hAnsi="Times New Roman" w:eastAsia="Times New Roman" w:cs="Times New Roman"/>
          <w:color w:val="000000"/>
          <w:sz w:val="20"/>
        </w:rPr>
        <w:t>[6] Ziniu Hu, Yuxiao Dong, Kuansan Wang, Yizhou Sun. Heterogeneous Graph Transformer. Proceedings of The Web Conference 2020, 2020.</w:t>
      </w:r>
    </w:p>
    <w:p>
      <w:pPr>
        <w:spacing w:after="60" w:line="252" w:lineRule="auto" w:before="0"/>
        <w:ind w:left="312"/>
        <w:jc w:val="left"/>
        <w:widowControl/>
      </w:pPr>
      <w:r>
        <w:rPr>
          <w:rFonts w:ascii="Times New Roman" w:hAnsi="Times New Roman" w:eastAsia="Times New Roman" w:cs="Times New Roman"/>
          <w:color w:val="000000"/>
          <w:sz w:val="20"/>
        </w:rPr>
        <w:t>[7] Yingtong Dou, Zhiwei Liu, Li Sun, Yutong Deng, Hao Peng et al. Enhancing Graph Neural Network-based Fraud Detectors against Camouflaged Fraudsters. Proceedings of the 29th ACM International Conference on Information &amp; Knowledge Management, 2020.</w:t>
      </w:r>
    </w:p>
    <w:p>
      <w:pPr>
        <w:spacing w:after="60" w:line="252" w:lineRule="auto" w:before="0"/>
        <w:ind w:left="312"/>
        <w:jc w:val="left"/>
        <w:widowControl/>
      </w:pPr>
      <w:r>
        <w:rPr>
          <w:rFonts w:ascii="Times New Roman" w:hAnsi="Times New Roman" w:eastAsia="Times New Roman" w:cs="Times New Roman"/>
          <w:color w:val="000000"/>
          <w:sz w:val="20"/>
        </w:rPr>
        <w:t>[8] Yang Liu, Xiang Ao, Zidi Qin, Jianfeng Chi, Jinghua Feng et al. Pick and Choose: A GNN-based Imbalanced Learning Approach for Fraud Detection. Proceedings of the Web Conference 2021, 2021.</w:t>
      </w:r>
    </w:p>
    <w:p>
      <w:pPr>
        <w:spacing w:after="60" w:line="252" w:lineRule="auto" w:before="0"/>
        <w:ind w:left="312"/>
        <w:jc w:val="left"/>
        <w:widowControl/>
      </w:pPr>
      <w:r>
        <w:rPr>
          <w:rFonts w:ascii="Times New Roman" w:hAnsi="Times New Roman" w:eastAsia="Times New Roman" w:cs="Times New Roman"/>
          <w:color w:val="000000"/>
          <w:sz w:val="20"/>
        </w:rPr>
        <w:t>[9] Daixin Wang, Jianbin Lin, Peng Cui, Quanhui Jia, Zhen Wang et al. A Semi-Supervised Graph Attentive Network for Financial Fraud Detection. 2019 IEEE International Conference on Data Mining (ICDM), 2019.</w:t>
      </w:r>
    </w:p>
    <w:p>
      <w:pPr>
        <w:spacing w:after="60" w:line="252" w:lineRule="auto" w:before="0"/>
        <w:ind w:left="312"/>
        <w:jc w:val="left"/>
        <w:widowControl/>
      </w:pPr>
      <w:r>
        <w:rPr>
          <w:rFonts w:ascii="Times New Roman" w:hAnsi="Times New Roman" w:eastAsia="Times New Roman" w:cs="Times New Roman"/>
          <w:color w:val="000000"/>
          <w:sz w:val="20"/>
        </w:rPr>
        <w:t>[10] Fengzhao Shi, Yanan Cao, Yanmin Shang, Yuchen Zhou, Chuan Zhou et al. H2-FDetector: A GNN-based Fraud Detector with Homophilic and Heterophilic Connections. Proceedings of the ACM Web Conference 2022, 2022.</w:t>
      </w:r>
    </w:p>
    <w:p>
      <w:pPr>
        <w:spacing w:after="60" w:line="252" w:lineRule="auto" w:before="0"/>
        <w:ind w:left="312"/>
        <w:jc w:val="left"/>
        <w:widowControl/>
      </w:pPr>
      <w:r>
        <w:rPr>
          <w:rFonts w:ascii="Times New Roman" w:hAnsi="Times New Roman" w:eastAsia="Times New Roman" w:cs="Times New Roman"/>
          <w:color w:val="000000"/>
          <w:sz w:val="20"/>
        </w:rPr>
        <w:t>[11] Mingxuan Lu, Zhichao Han, Susie Xi Rao, Zitao Zhang, Yang Zhao et al. BRIGHT - Graph Neural Networks in Real-time Fraud Detection. Proceedings of the 31st ACM International Conference on Information &amp; Knowledge Management, 2022.</w:t>
      </w:r>
    </w:p>
    <w:p>
      <w:pPr>
        <w:spacing w:after="60" w:line="252" w:lineRule="auto" w:before="0"/>
        <w:ind w:left="312"/>
        <w:jc w:val="left"/>
        <w:widowControl/>
      </w:pPr>
      <w:r>
        <w:rPr>
          <w:rFonts w:ascii="Times New Roman" w:hAnsi="Times New Roman" w:eastAsia="Times New Roman" w:cs="Times New Roman"/>
          <w:color w:val="000000"/>
          <w:sz w:val="20"/>
        </w:rPr>
        <w:t>[12] Jie Zhou, Ganqu Cui, Shengding Hu, Zhengyan Zhang, Cheng Yang et al. Graph neural networks: A review of methods and applications. AI Open, 2020.</w:t>
      </w:r>
    </w:p>
    <w:p>
      <w:pPr>
        <w:spacing w:after="60" w:line="252" w:lineRule="auto" w:before="0"/>
        <w:ind w:left="312"/>
        <w:jc w:val="left"/>
        <w:widowControl/>
      </w:pPr>
      <w:r>
        <w:rPr>
          <w:rFonts w:ascii="Times New Roman" w:hAnsi="Times New Roman" w:eastAsia="Times New Roman" w:cs="Times New Roman"/>
          <w:color w:val="000000"/>
          <w:sz w:val="20"/>
        </w:rPr>
        <w:t>[13] Aldo Pareja, Giacomo Domeniconi, Jie Chen, Tengfei Ma, Toyotaro Suzumura et al. EvolveGCN: Evolving Graph Convolutional Networks for Dynamic Graphs. Proceedings of the AAAI Conference on Artificial Intelligence, 2020.</w:t>
      </w:r>
    </w:p>
    <w:p>
      <w:pPr>
        <w:spacing w:after="60" w:line="252" w:lineRule="auto" w:before="0"/>
        <w:ind w:left="312"/>
        <w:jc w:val="left"/>
        <w:widowControl/>
      </w:pPr>
      <w:r>
        <w:rPr>
          <w:rFonts w:ascii="Times New Roman" w:hAnsi="Times New Roman" w:eastAsia="Times New Roman" w:cs="Times New Roman"/>
          <w:color w:val="000000"/>
          <w:sz w:val="20"/>
        </w:rPr>
        <w:t>[14] Peter Kairouz, H. Brendan McMahan. Advances and Open Problems in Federated Learning. Foundations and Trends® in Machine Learning, 2021.</w:t>
      </w:r>
    </w:p>
    <w:p>
      <w:pPr>
        <w:spacing w:after="60" w:line="252" w:lineRule="auto" w:before="0"/>
        <w:ind w:left="312"/>
        <w:jc w:val="left"/>
        <w:widowControl/>
      </w:pPr>
      <w:r>
        <w:rPr>
          <w:rFonts w:ascii="Times New Roman" w:hAnsi="Times New Roman" w:eastAsia="Times New Roman" w:cs="Times New Roman"/>
          <w:color w:val="000000"/>
          <w:sz w:val="20"/>
        </w:rPr>
        <w:t>[15] Sudipan Saha, Tahir Ahmad. Federated transfer learning: Concept and applications. Intelligenza Artificiale: The international journal of the AIxIA, 2021.</w:t>
      </w:r>
    </w:p>
    <w:p>
      <w:pPr>
        <w:spacing w:after="60" w:line="252" w:lineRule="auto" w:before="0"/>
        <w:ind w:left="312"/>
        <w:jc w:val="left"/>
        <w:widowControl/>
      </w:pPr>
      <w:r>
        <w:rPr>
          <w:rFonts w:ascii="Times New Roman" w:hAnsi="Times New Roman" w:eastAsia="Times New Roman" w:cs="Times New Roman"/>
          <w:color w:val="000000"/>
          <w:sz w:val="20"/>
        </w:rPr>
        <w:t>[16] Pushpa Singh, Murari Kumar Singh, Rajnesh Singh, Narendra Singh. Federated Learning: Challenges, Methods, and Future Directions. EAI/Springer Innovations in Communication and Computing Federated Learning for IoT Applications, 2022.</w:t>
      </w:r>
    </w:p>
    <w:p>
      <w:pPr>
        <w:spacing w:after="60" w:line="252" w:lineRule="auto" w:before="0"/>
        <w:ind w:left="312"/>
        <w:jc w:val="left"/>
        <w:widowControl/>
      </w:pPr>
      <w:r>
        <w:rPr>
          <w:rFonts w:ascii="Times New Roman" w:hAnsi="Times New Roman" w:eastAsia="Times New Roman" w:cs="Times New Roman"/>
          <w:color w:val="000000"/>
          <w:sz w:val="20"/>
        </w:rPr>
        <w:t>[17] Fengxia Liu, Zhiming Zheng, Yexuan Shi, Yongxin Tong, Yi Zhang. A survey on federated learning: a perspective from multi-party computation. Frontiers of Computer Science, 2023.</w:t>
      </w:r>
    </w:p>
    <w:p>
      <w:pPr>
        <w:spacing w:after="60" w:line="252" w:lineRule="auto" w:before="0"/>
        <w:ind w:left="312"/>
        <w:jc w:val="left"/>
        <w:widowControl/>
      </w:pPr>
      <w:r>
        <w:rPr>
          <w:rFonts w:ascii="Times New Roman" w:hAnsi="Times New Roman" w:eastAsia="Times New Roman" w:cs="Times New Roman"/>
          <w:color w:val="000000"/>
          <w:sz w:val="20"/>
        </w:rPr>
        <w:t>[18] Qinbin Li, Zeyi Wen, Zhaomin Wu, Sixu Hu, Naibo Wang et al. A Survey on Federated Learning Systems: Vision, Hype and Reality for Data Privacy and Protection. IEEE Transactions on Knowledge and Data Engineering, 2023.</w:t>
      </w:r>
    </w:p>
    <w:p>
      <w:pPr>
        <w:spacing w:after="60" w:line="252" w:lineRule="auto" w:before="0"/>
        <w:ind w:left="312"/>
        <w:jc w:val="left"/>
        <w:widowControl/>
      </w:pPr>
      <w:r>
        <w:rPr>
          <w:rFonts w:ascii="Times New Roman" w:hAnsi="Times New Roman" w:eastAsia="Times New Roman" w:cs="Times New Roman"/>
          <w:color w:val="000000"/>
          <w:sz w:val="20"/>
        </w:rPr>
        <w:t>[19] Hangyu Zhu, Jinjin Xu, Shiqing Liu, Yaochu Jin. Federated learning on non-IID data: A survey. Neurocomputing, 2021.</w:t>
      </w:r>
    </w:p>
    <w:p>
      <w:pPr>
        <w:spacing w:after="60" w:line="252" w:lineRule="auto" w:before="0"/>
        <w:ind w:left="312"/>
        <w:jc w:val="left"/>
        <w:widowControl/>
      </w:pPr>
      <w:r>
        <w:rPr>
          <w:rFonts w:ascii="Times New Roman" w:hAnsi="Times New Roman" w:eastAsia="Times New Roman" w:cs="Times New Roman"/>
          <w:color w:val="000000"/>
          <w:sz w:val="20"/>
        </w:rPr>
        <w:t>[20] Keith Bonawitz, Vladimir Ivanov, Ben Kreuter, Antonio Marcedone, H. Brendan McMahan et al. Practical Secure Aggregation for Privacy-Preserving Machine Learning. Proceedings of the 2017 ACM SIGSAC Conference on Computer and Communications Security, 2017.</w:t>
      </w:r>
    </w:p>
    <w:p>
      <w:pPr>
        <w:spacing w:after="60" w:line="252" w:lineRule="auto" w:before="0"/>
        <w:ind w:left="312"/>
        <w:jc w:val="left"/>
        <w:widowControl/>
      </w:pPr>
      <w:r>
        <w:rPr>
          <w:rFonts w:ascii="Times New Roman" w:hAnsi="Times New Roman" w:eastAsia="Times New Roman" w:cs="Times New Roman"/>
          <w:color w:val="000000"/>
          <w:sz w:val="20"/>
        </w:rPr>
        <w:t>[21] Martin Abadi, Andy Chu, Ian Goodfellow, H. Brendan McMahan, Ilya Mironov et al. Deep Learning with Differential Privacy. Proceedings of the 2016 ACM SIGSAC Conference on Computer and Communications Security, 2016.</w:t>
      </w:r>
    </w:p>
    <w:p>
      <w:pPr>
        <w:spacing w:after="60" w:line="252" w:lineRule="auto" w:before="0"/>
        <w:ind w:left="312"/>
        <w:jc w:val="left"/>
        <w:widowControl/>
      </w:pPr>
      <w:r>
        <w:rPr>
          <w:rFonts w:ascii="Times New Roman" w:hAnsi="Times New Roman" w:eastAsia="Times New Roman" w:cs="Times New Roman"/>
          <w:color w:val="000000"/>
          <w:sz w:val="20"/>
        </w:rPr>
        <w:t>[22] Ligeng Zhu, Song Han. Deep Leakage from Gradients. Lecture Notes in Computer Science Federated Learning, 2020.</w:t>
      </w:r>
    </w:p>
    <w:p>
      <w:pPr>
        <w:spacing w:after="60" w:line="252" w:lineRule="auto" w:before="0"/>
        <w:ind w:left="312"/>
        <w:jc w:val="left"/>
        <w:widowControl/>
      </w:pPr>
      <w:r>
        <w:rPr>
          <w:rFonts w:ascii="Times New Roman" w:hAnsi="Times New Roman" w:eastAsia="Times New Roman" w:cs="Times New Roman"/>
          <w:color w:val="000000"/>
          <w:sz w:val="20"/>
        </w:rPr>
        <w:t>[23] Kaushal Kishor. Personalized Federated Learning. EAI/Springer Innovations in Communication and Computing Federated Learning for IoT Applications, 2022.</w:t>
      </w:r>
    </w:p>
    <w:p>
      <w:pPr>
        <w:spacing w:after="60" w:line="252" w:lineRule="auto" w:before="0"/>
        <w:ind w:left="312"/>
        <w:jc w:val="left"/>
        <w:widowControl/>
      </w:pPr>
      <w:r>
        <w:rPr>
          <w:rFonts w:ascii="Times New Roman" w:hAnsi="Times New Roman" w:eastAsia="Times New Roman" w:cs="Times New Roman"/>
          <w:color w:val="000000"/>
          <w:sz w:val="20"/>
        </w:rPr>
        <w:t>[24] Matthias Delange, Rahaf Aljundi, Marc Masana, Sarah Parisot, Xu Jia et al. A continual learning survey: Defying forgetting in classification tasks. IEEE Transactions on Pattern Analysis and Machine Intelligence, 2021.</w:t>
      </w:r>
    </w:p>
    <w:p>
      <w:pPr>
        <w:spacing w:after="60" w:line="252" w:lineRule="auto" w:before="0"/>
        <w:ind w:left="312"/>
        <w:jc w:val="left"/>
        <w:widowControl/>
      </w:pPr>
      <w:r>
        <w:rPr>
          <w:rFonts w:ascii="Times New Roman" w:hAnsi="Times New Roman" w:eastAsia="Times New Roman" w:cs="Times New Roman"/>
          <w:color w:val="000000"/>
          <w:sz w:val="20"/>
        </w:rPr>
        <w:t>[25] Liyuan Wang, Xingxing Zhang, Hang Su, Jun Zhu. A Comprehensive Survey of Continual Learning: Theory, Method and Application. IEEE Transactions on Pattern Analysis and Machine Intelligence, 2024.</w:t>
      </w:r>
    </w:p>
    <w:p>
      <w:pPr>
        <w:spacing w:after="60" w:line="252" w:lineRule="auto" w:before="0"/>
        <w:ind w:left="312"/>
        <w:jc w:val="left"/>
        <w:widowControl/>
      </w:pPr>
      <w:r>
        <w:rPr>
          <w:rFonts w:ascii="Times New Roman" w:hAnsi="Times New Roman" w:eastAsia="Times New Roman" w:cs="Times New Roman"/>
          <w:color w:val="000000"/>
          <w:sz w:val="20"/>
        </w:rPr>
        <w:t>[26] Andrea Cossu, Antonio Carta, Vincenzo Lomonaco, Davide Bacciu. Continual learning for recurrent neural networks: An empirical evaluation. Neural Networks, 2021.</w:t>
      </w:r>
    </w:p>
    <w:p>
      <w:pPr>
        <w:spacing w:after="60" w:line="252" w:lineRule="auto" w:before="0"/>
        <w:ind w:left="312"/>
        <w:jc w:val="left"/>
        <w:widowControl/>
      </w:pPr>
      <w:r>
        <w:rPr>
          <w:rFonts w:ascii="Times New Roman" w:hAnsi="Times New Roman" w:eastAsia="Times New Roman" w:cs="Times New Roman"/>
          <w:color w:val="000000"/>
          <w:sz w:val="20"/>
        </w:rPr>
        <w:t>[27] James Kirkpatrick, Razvan Pascanu, Neil Rabinowitz, Joel Veness, Guillaume Desjardins et al. Overcoming catastrophic forgetting in neural networks. Proceedings of the National Academy of Sciences, 2017.</w:t>
      </w:r>
    </w:p>
    <w:p>
      <w:pPr>
        <w:spacing w:after="60" w:line="252" w:lineRule="auto" w:before="0"/>
        <w:ind w:left="312"/>
        <w:jc w:val="left"/>
        <w:widowControl/>
      </w:pPr>
      <w:r>
        <w:rPr>
          <w:rFonts w:ascii="Times New Roman" w:hAnsi="Times New Roman" w:eastAsia="Times New Roman" w:cs="Times New Roman"/>
          <w:color w:val="000000"/>
          <w:sz w:val="20"/>
        </w:rPr>
        <w:t>[28] Zhizhong Li, Derek Hoiem. Learning without Forgetting. IEEE Transactions on Pattern Analysis and Machine Intelligence, 2018.</w:t>
      </w:r>
    </w:p>
    <w:p>
      <w:pPr>
        <w:spacing w:after="60" w:line="252" w:lineRule="auto" w:before="0"/>
        <w:ind w:left="312"/>
        <w:jc w:val="left"/>
        <w:widowControl/>
      </w:pPr>
      <w:r>
        <w:rPr>
          <w:rFonts w:ascii="Times New Roman" w:hAnsi="Times New Roman" w:eastAsia="Times New Roman" w:cs="Times New Roman"/>
          <w:color w:val="000000"/>
          <w:sz w:val="20"/>
        </w:rPr>
        <w:t>[29] João Gama, Indrė Žliobaitė, Albert Bifet, Mykola Pechenizkiy, Abdelhamid Bouchachia. A survey on concept drift adaptation. ACM Computing Surveys, 2014.</w:t>
      </w:r>
    </w:p>
    <w:p>
      <w:pPr>
        <w:spacing w:after="60" w:line="252" w:lineRule="auto" w:before="0"/>
        <w:ind w:left="312"/>
        <w:jc w:val="left"/>
        <w:widowControl/>
      </w:pPr>
      <w:r>
        <w:rPr>
          <w:rFonts w:ascii="Times New Roman" w:hAnsi="Times New Roman" w:eastAsia="Times New Roman" w:cs="Times New Roman"/>
          <w:color w:val="000000"/>
          <w:sz w:val="20"/>
        </w:rPr>
        <w:t>[30] Jie Lu, Anjin Liu, Fan Dong, Feng Gu, Joao Gama et al. Learning under Concept Drift: A Review. IEEE Transactions on Knowledge and Data Engineering, 2018.</w:t>
      </w:r>
    </w:p>
    <w:p>
      <w:pPr>
        <w:spacing w:after="60" w:line="252" w:lineRule="auto" w:before="0"/>
        <w:ind w:left="312"/>
        <w:jc w:val="left"/>
        <w:widowControl/>
      </w:pPr>
      <w:r>
        <w:rPr>
          <w:rFonts w:ascii="Times New Roman" w:hAnsi="Times New Roman" w:eastAsia="Times New Roman" w:cs="Times New Roman"/>
          <w:color w:val="000000"/>
          <w:sz w:val="20"/>
        </w:rPr>
        <w:t>[31] Kaiyang Zhou, Ziwei Liu, Yu Qiao, Tao Xiang, Chen Change Loy. Domain Generalization: A Survey. IEEE Transactions on Pattern Analysis and Machine Intelligence, 2022.</w:t>
      </w:r>
    </w:p>
    <w:p>
      <w:pPr>
        <w:spacing w:after="60" w:line="252" w:lineRule="auto" w:before="0"/>
        <w:ind w:left="312"/>
        <w:jc w:val="left"/>
        <w:widowControl/>
      </w:pPr>
      <w:r>
        <w:rPr>
          <w:rFonts w:ascii="Times New Roman" w:hAnsi="Times New Roman" w:eastAsia="Times New Roman" w:cs="Times New Roman"/>
          <w:color w:val="000000"/>
          <w:sz w:val="20"/>
        </w:rPr>
        <w:t>[32] W. J. Scheirer, A. de Rezende Rocha, A. Sapkota, T. E. Boult. Toward Open Set Recognition. IEEE Transactions on Pattern Analysis and Machine Intelligence, 2013.</w:t>
      </w:r>
    </w:p>
    <w:p>
      <w:pPr>
        <w:spacing w:after="60" w:line="252" w:lineRule="auto" w:before="0"/>
        <w:ind w:left="312"/>
        <w:jc w:val="left"/>
        <w:widowControl/>
      </w:pPr>
      <w:r>
        <w:rPr>
          <w:rFonts w:ascii="Times New Roman" w:hAnsi="Times New Roman" w:eastAsia="Times New Roman" w:cs="Times New Roman"/>
          <w:color w:val="000000"/>
          <w:sz w:val="20"/>
        </w:rPr>
        <w:t>[33] Abhijit Bendale, Terrance E. Boult. Towards Open Set Deep Networks. 2016 IEEE Conference on Computer Vision and Pattern Recognition (CVPR), 2016.</w:t>
      </w:r>
    </w:p>
    <w:p>
      <w:pPr>
        <w:spacing w:after="60" w:line="252" w:lineRule="auto" w:before="0"/>
        <w:ind w:left="312"/>
        <w:jc w:val="left"/>
        <w:widowControl/>
      </w:pPr>
      <w:r>
        <w:rPr>
          <w:rFonts w:ascii="Times New Roman" w:hAnsi="Times New Roman" w:eastAsia="Times New Roman" w:cs="Times New Roman"/>
          <w:color w:val="000000"/>
          <w:sz w:val="20"/>
        </w:rPr>
        <w:t>[34] Atefeh Mahdavi, Marco Carvalho. A Survey on Open Set Recognition. 2021 IEEE Fourth International Conference on Artificial Intelligence and Knowledge Engineering (AIKE), 2021.</w:t>
      </w:r>
    </w:p>
    <w:p>
      <w:pPr>
        <w:spacing w:after="60" w:line="252" w:lineRule="auto" w:before="0"/>
        <w:ind w:left="312"/>
        <w:jc w:val="left"/>
        <w:widowControl/>
      </w:pPr>
      <w:r>
        <w:rPr>
          <w:rFonts w:ascii="Times New Roman" w:hAnsi="Times New Roman" w:eastAsia="Times New Roman" w:cs="Times New Roman"/>
          <w:color w:val="000000"/>
          <w:sz w:val="20"/>
        </w:rPr>
        <w:t>[35] Jingkang Yang, Kaiyang Zhou, Yixuan Li, Ziwei Liu. Generalized Out-of-Distribution Detection: A Survey. International Journal of Computer Vision, 2024.</w:t>
      </w:r>
    </w:p>
    <w:p>
      <w:pPr>
        <w:spacing w:after="60" w:line="252" w:lineRule="auto" w:before="0"/>
        <w:ind w:left="312"/>
        <w:jc w:val="left"/>
        <w:widowControl/>
      </w:pPr>
      <w:r>
        <w:rPr>
          <w:rFonts w:ascii="Times New Roman" w:hAnsi="Times New Roman" w:eastAsia="Times New Roman" w:cs="Times New Roman"/>
          <w:color w:val="000000"/>
          <w:sz w:val="20"/>
        </w:rPr>
        <w:t>[36] Jiaxing Zhang, Zhuomin Chen, Hao Mei, Longchao Da, Dongsheng Luo et al. RegExplainer: Generating Explanations for Graph Neural Networks in Regression Tasks. Advances in Neural Information Processing Systems 37, 2024.</w:t>
      </w:r>
    </w:p>
    <w:p>
      <w:pPr>
        <w:spacing w:after="60" w:line="252" w:lineRule="auto" w:before="0"/>
        <w:ind w:left="312"/>
        <w:jc w:val="left"/>
        <w:widowControl/>
      </w:pPr>
      <w:r>
        <w:rPr>
          <w:rFonts w:ascii="Times New Roman" w:hAnsi="Times New Roman" w:eastAsia="Times New Roman" w:cs="Times New Roman"/>
          <w:color w:val="000000"/>
          <w:sz w:val="20"/>
        </w:rPr>
        <w:t>[37] Marco Ribeiro, Sameer Singh, Carlos Guestrin. “Why Should I Trust You?”: Explaining the Predictions of Any Classifier. Proceedings of the 2016 Conference of the North American Chapter of the Association for Computational Linguistics: Demonstrations, 2016.</w:t>
      </w:r>
    </w:p>
    <w:p>
      <w:pPr>
        <w:spacing w:after="60" w:line="252" w:lineRule="auto" w:before="0"/>
        <w:ind w:left="312"/>
        <w:jc w:val="left"/>
        <w:widowControl/>
      </w:pPr>
      <w:r>
        <w:rPr>
          <w:rFonts w:ascii="Times New Roman" w:hAnsi="Times New Roman" w:eastAsia="Times New Roman" w:cs="Times New Roman"/>
          <w:color w:val="000000"/>
          <w:sz w:val="20"/>
        </w:rPr>
        <w:t>[38] Sandra Wachter, Brent Mittelstadt, Chris Russell. Counterfactual Explanations Without Opening the Black Box: Automated Decisions and the GDPR. SSRN Electronic Journal, 2017.</w:t>
      </w:r>
    </w:p>
    <w:p>
      <w:pPr>
        <w:spacing w:after="60" w:line="252" w:lineRule="auto" w:before="0"/>
        <w:ind w:left="312"/>
        <w:jc w:val="left"/>
        <w:widowControl/>
      </w:pPr>
      <w:r>
        <w:rPr>
          <w:rFonts w:ascii="Times New Roman" w:hAnsi="Times New Roman" w:eastAsia="Times New Roman" w:cs="Times New Roman"/>
          <w:color w:val="000000"/>
          <w:sz w:val="20"/>
        </w:rPr>
        <w:t>[39] Junqi Jiang, Francesco Leofante, Antonio Rago, Francesca Toni. Robust Counterfactual Explanations in Machine Learning: A Survey. Proceedings of the Thirty-Third International Joint Conference on Artificial Intelligence, 2024.</w:t>
      </w:r>
    </w:p>
    <w:p>
      <w:pPr>
        <w:spacing w:after="60" w:line="252" w:lineRule="auto" w:before="0"/>
        <w:ind w:left="312"/>
        <w:jc w:val="left"/>
        <w:widowControl/>
      </w:pPr>
      <w:r>
        <w:rPr>
          <w:rFonts w:ascii="Times New Roman" w:hAnsi="Times New Roman" w:eastAsia="Times New Roman" w:cs="Times New Roman"/>
          <w:color w:val="000000"/>
          <w:sz w:val="20"/>
        </w:rPr>
        <w:t>[40] Alejandro Barredo Arrieta, Natalia Díaz-Rodríguez, Javier Del Ser, Adrien Bennetot, Siham Tabik et al. Explainable Artificial Intelligence (XAI): Concepts, taxonomies, opportunities and challenges toward responsible AI. Information Fusion, 2020.</w:t>
      </w:r>
    </w:p>
    <w:p>
      <w:pPr>
        <w:spacing w:after="60" w:line="252" w:lineRule="auto" w:before="0"/>
        <w:ind w:left="312"/>
        <w:jc w:val="left"/>
        <w:widowControl/>
      </w:pPr>
      <w:r>
        <w:rPr>
          <w:rFonts w:ascii="Times New Roman" w:hAnsi="Times New Roman" w:eastAsia="Times New Roman" w:cs="Times New Roman"/>
          <w:color w:val="000000"/>
          <w:sz w:val="20"/>
        </w:rPr>
        <w:t>[41] Chirag Agarwal, Owen Queen, Himabindu Lakkaraju, Marinka Zitnik. Evaluating explainability for graph neural networks. Scientific Data, 2023.</w:t>
      </w:r>
    </w:p>
    <w:p>
      <w:pPr>
        <w:spacing w:after="60" w:line="252" w:lineRule="auto" w:before="0"/>
        <w:ind w:left="312"/>
        <w:jc w:val="left"/>
        <w:widowControl/>
      </w:pPr>
      <w:r>
        <w:rPr>
          <w:rFonts w:ascii="Times New Roman" w:hAnsi="Times New Roman" w:eastAsia="Times New Roman" w:cs="Times New Roman"/>
          <w:color w:val="000000"/>
          <w:sz w:val="20"/>
        </w:rPr>
        <w:t>[42] McMahan, Brendan, Moore, Eider, Ramage, Daniel, Hampson, Seth, Arcas, Blaise Aguera y. Communication-Efficient Learning of Deep Networks from Decentralized Data. Proceedings of Machine Learning Research, 2017.</w:t>
      </w:r>
    </w:p>
    <w:p>
      <w:pPr>
        <w:spacing w:after="60" w:line="252" w:lineRule="auto" w:before="0"/>
        <w:ind w:left="312"/>
        <w:jc w:val="left"/>
        <w:widowControl/>
      </w:pPr>
      <w:r>
        <w:rPr>
          <w:rFonts w:ascii="Times New Roman" w:hAnsi="Times New Roman" w:eastAsia="Times New Roman" w:cs="Times New Roman"/>
          <w:color w:val="000000"/>
          <w:sz w:val="20"/>
        </w:rPr>
        <w:t>[43] Karimireddy, Sai Praneeth, Kale, Satyen, Mohri, Mehryar, Reddi, Sashank, Stich, Sebastian U. et al. SCAFFOLD: Stochastic Controlled Averaging for Federated Learning. Proceedings of Machine Learning Research, 2020.</w:t>
      </w:r>
    </w:p>
    <w:p>
      <w:pPr>
        <w:spacing w:after="60" w:line="252" w:lineRule="auto" w:before="0"/>
        <w:ind w:left="312"/>
        <w:jc w:val="left"/>
        <w:widowControl/>
      </w:pPr>
      <w:r>
        <w:rPr>
          <w:rFonts w:ascii="Times New Roman" w:hAnsi="Times New Roman" w:eastAsia="Times New Roman" w:cs="Times New Roman"/>
          <w:color w:val="000000"/>
          <w:sz w:val="20"/>
        </w:rPr>
        <w:t>[44] Hsieh, Kevin, Phanishayee, Amar, Mutlu, Onur, Gibbons, Phillip B.. The Non-IID Data Quagmire of Decentralized Machine Learning. Proceedings of Machine Learning Research, 2020.</w:t>
      </w:r>
    </w:p>
    <w:p>
      <w:pPr>
        <w:spacing w:after="60" w:line="252" w:lineRule="auto" w:before="0"/>
        <w:ind w:left="312"/>
        <w:jc w:val="left"/>
        <w:widowControl/>
      </w:pPr>
      <w:r>
        <w:rPr>
          <w:rFonts w:ascii="Times New Roman" w:hAnsi="Times New Roman" w:eastAsia="Times New Roman" w:cs="Times New Roman"/>
          <w:color w:val="000000"/>
          <w:sz w:val="20"/>
        </w:rPr>
        <w:t>[45] Yin, Dong, Chen, Yudong, Kannan, Ramchandran, Bartlett, Peter. Byzantine-Robust Distributed Learning: Towards Optimal Statistical Rates. Proceedings of Machine Learning Research, 2018.</w:t>
      </w:r>
    </w:p>
    <w:p>
      <w:pPr>
        <w:spacing w:after="60" w:line="252" w:lineRule="auto" w:before="0"/>
        <w:ind w:left="312"/>
        <w:jc w:val="left"/>
        <w:widowControl/>
      </w:pPr>
      <w:r>
        <w:rPr>
          <w:rFonts w:ascii="Times New Roman" w:hAnsi="Times New Roman" w:eastAsia="Times New Roman" w:cs="Times New Roman"/>
          <w:color w:val="000000"/>
          <w:sz w:val="20"/>
        </w:rPr>
        <w:t>[46] El Mhamdi, El Mahdi, Guerraoui, Rachid, Rouault, Sebastien. The Hidden Vulnerability of Distributed Learning in Byzantium. Proceedings of Machine Learning Research, 2018.</w:t>
      </w:r>
    </w:p>
    <w:p>
      <w:pPr>
        <w:spacing w:after="60" w:line="252" w:lineRule="auto" w:before="0"/>
        <w:ind w:left="312"/>
        <w:jc w:val="left"/>
        <w:widowControl/>
      </w:pPr>
      <w:r>
        <w:rPr>
          <w:rFonts w:ascii="Times New Roman" w:hAnsi="Times New Roman" w:eastAsia="Times New Roman" w:cs="Times New Roman"/>
          <w:color w:val="000000"/>
          <w:sz w:val="20"/>
        </w:rPr>
        <w:t>[47] Gal, Yarin, Ghahramani, Zoubin. Dropout as a Bayesian Approximation: Representing Model Uncertainty in Deep Learning. Proceedings of Machine Learning Research, 2016.</w:t>
      </w:r>
    </w:p>
    <w:p>
      <w:pPr>
        <w:spacing w:after="60" w:line="252" w:lineRule="auto" w:before="0"/>
        <w:ind w:left="312"/>
        <w:jc w:val="left"/>
        <w:widowControl/>
      </w:pPr>
      <w:r>
        <w:rPr>
          <w:rFonts w:ascii="Times New Roman" w:hAnsi="Times New Roman" w:eastAsia="Times New Roman" w:cs="Times New Roman"/>
          <w:color w:val="000000"/>
          <w:sz w:val="20"/>
        </w:rPr>
        <w:t>[48] Guo, Chuan, Pleiss, Geoff, Sun, Yu, Weinberger, Kilian Q.. On Calibration of Modern Neural Networks. Proceedings of Machine Learning Research, 2017.</w:t>
      </w:r>
    </w:p>
    <w:p>
      <w:pPr>
        <w:spacing w:after="60" w:line="252" w:lineRule="auto" w:before="0"/>
        <w:ind w:left="312"/>
        <w:jc w:val="left"/>
        <w:widowControl/>
      </w:pPr>
      <w:r>
        <w:rPr>
          <w:rFonts w:ascii="Times New Roman" w:hAnsi="Times New Roman" w:eastAsia="Times New Roman" w:cs="Times New Roman"/>
          <w:color w:val="000000"/>
          <w:sz w:val="20"/>
        </w:rPr>
        <w:t>[49] Krueger, David, Caballero, Ethan, Jacobsen, Jörn-Henrik, Zhang, Amy, Binas, Jonathan et al. Out-of-Distribution Generalization via Risk Extrapolation. Proceedings of Machine Learning Research, 2021.</w:t>
      </w:r>
    </w:p>
    <w:p>
      <w:pPr>
        <w:spacing w:after="60" w:line="252" w:lineRule="auto" w:before="0"/>
        <w:ind w:left="312"/>
        <w:jc w:val="left"/>
        <w:widowControl/>
      </w:pPr>
      <w:r>
        <w:rPr>
          <w:rFonts w:ascii="Times New Roman" w:hAnsi="Times New Roman" w:eastAsia="Times New Roman" w:cs="Times New Roman"/>
          <w:color w:val="000000"/>
          <w:sz w:val="20"/>
        </w:rPr>
        <w:t>[50] Hamilton, William L., Ying, Rex, Leskovec, Jure. Inductive Representation Learning on Large Graphs. Advances in Neural Information Processing Systems, 2017.</w:t>
      </w:r>
    </w:p>
    <w:p>
      <w:pPr>
        <w:spacing w:after="60" w:line="252" w:lineRule="auto" w:before="0"/>
        <w:ind w:left="312"/>
        <w:jc w:val="left"/>
        <w:widowControl/>
      </w:pPr>
      <w:r>
        <w:rPr>
          <w:rFonts w:ascii="Times New Roman" w:hAnsi="Times New Roman" w:eastAsia="Times New Roman" w:cs="Times New Roman"/>
          <w:color w:val="000000"/>
          <w:sz w:val="20"/>
        </w:rPr>
        <w:t>[51] Kipf, Thomas N., Welling, Max. Semi-Supervised Classification with Graph Convolutional Networks. International Conference on Learning Representations, 2017.</w:t>
      </w:r>
    </w:p>
    <w:p>
      <w:pPr>
        <w:spacing w:after="60" w:line="252" w:lineRule="auto" w:before="0"/>
        <w:ind w:left="312"/>
        <w:jc w:val="left"/>
        <w:widowControl/>
      </w:pPr>
      <w:r>
        <w:rPr>
          <w:rFonts w:ascii="Times New Roman" w:hAnsi="Times New Roman" w:eastAsia="Times New Roman" w:cs="Times New Roman"/>
          <w:color w:val="000000"/>
          <w:sz w:val="20"/>
        </w:rPr>
        <w:t>[52] Veličković, Petar, Cucurull, Guillem, Casanova, Arantxa, Romero, Adriana, Liò, Pietro et al. Graph Attention Networks. International Conference on Learning Representations, 2018.</w:t>
      </w:r>
    </w:p>
    <w:p>
      <w:pPr>
        <w:spacing w:after="60" w:line="252" w:lineRule="auto" w:before="0"/>
        <w:ind w:left="312"/>
        <w:jc w:val="left"/>
        <w:widowControl/>
      </w:pPr>
      <w:r>
        <w:rPr>
          <w:rFonts w:ascii="Times New Roman" w:hAnsi="Times New Roman" w:eastAsia="Times New Roman" w:cs="Times New Roman"/>
          <w:color w:val="000000"/>
          <w:sz w:val="20"/>
        </w:rPr>
        <w:t>[53] Ying, Rex, Bourgeois, Francois, You, J., Zitnik, Marinka, Leskovec, Jure. GNNExplainer: Generating Explanations for Graph Neural Networks. Advances in Neural Information Processing Systems, 2019.</w:t>
      </w:r>
    </w:p>
    <w:p>
      <w:pPr>
        <w:spacing w:after="60" w:line="252" w:lineRule="auto" w:before="0"/>
        <w:ind w:left="312"/>
        <w:jc w:val="left"/>
        <w:widowControl/>
      </w:pPr>
      <w:r>
        <w:rPr>
          <w:rFonts w:ascii="Times New Roman" w:hAnsi="Times New Roman" w:eastAsia="Times New Roman" w:cs="Times New Roman"/>
          <w:color w:val="000000"/>
          <w:sz w:val="20"/>
        </w:rPr>
        <w:t>[54] Lopez-Rojas, Edgar, Elmir, Ahmad, Axelsson, Stefan. PaySim: A Financial Mobile Money Simulator for Fraud Detection. European Symposium on Research in Computer Security Workshops, 2016.</w:t>
      </w:r>
    </w:p>
    <w:p>
      <w:pPr>
        <w:spacing w:after="60" w:line="252" w:lineRule="auto" w:before="0"/>
        <w:ind w:left="312"/>
        <w:jc w:val="left"/>
        <w:widowControl/>
      </w:pPr>
      <w:r>
        <w:rPr>
          <w:rFonts w:ascii="Times New Roman" w:hAnsi="Times New Roman" w:eastAsia="Times New Roman" w:cs="Times New Roman"/>
          <w:color w:val="000000"/>
          <w:sz w:val="20"/>
        </w:rPr>
        <w:t>[55] Lundberg, Scott M., Lee, Su-In. A Unified Approach to Interpreting Model Predictions. Advances in Neural Information Processing Systems, 2017.</w:t>
      </w:r>
    </w:p>
    <w:p>
      <w:pPr>
        <w:spacing w:after="60" w:line="252" w:lineRule="auto" w:before="0"/>
        <w:ind w:left="312"/>
        <w:jc w:val="left"/>
        <w:widowControl/>
      </w:pPr>
      <w:r>
        <w:rPr>
          <w:rFonts w:ascii="Times New Roman" w:hAnsi="Times New Roman" w:eastAsia="Times New Roman" w:cs="Times New Roman"/>
          <w:color w:val="000000"/>
          <w:sz w:val="20"/>
        </w:rPr>
        <w:t>[56] Ovadia, Yaniv, Fertig, Emily, Ren, Jie, Nado, Zachary, Sculley, D. et al. Can You Trust Your Model’s Uncertainty? Evaluating Predictive Uncertainty Under Dataset Shift. Advances in Neural Information Processing Systems, 2019.</w:t>
      </w:r>
    </w:p>
    <w:p>
      <w:pPr>
        <w:spacing w:after="60" w:line="252" w:lineRule="auto" w:before="0"/>
        <w:ind w:left="312"/>
        <w:jc w:val="left"/>
        <w:widowControl/>
      </w:pPr>
      <w:r>
        <w:rPr>
          <w:rFonts w:ascii="Times New Roman" w:hAnsi="Times New Roman" w:eastAsia="Times New Roman" w:cs="Times New Roman"/>
          <w:color w:val="000000"/>
          <w:sz w:val="20"/>
        </w:rPr>
        <w:t>[57] Hendrycks, Dan, Gimpel, Kevin. A Baseline for Detecting Misclassified and Out-of-Distribution Examples in Neural Networks. International Conference on Learning Representations, 2017.</w:t>
      </w:r>
    </w:p>
    <w:p>
      <w:pPr>
        <w:spacing w:after="60" w:line="252" w:lineRule="auto" w:before="0"/>
        <w:ind w:left="312"/>
        <w:jc w:val="left"/>
        <w:widowControl/>
      </w:pPr>
      <w:r>
        <w:rPr>
          <w:rFonts w:ascii="Times New Roman" w:hAnsi="Times New Roman" w:eastAsia="Times New Roman" w:cs="Times New Roman"/>
          <w:color w:val="000000"/>
          <w:sz w:val="20"/>
        </w:rPr>
        <w:t>[58] Ren, Jie, Liu, Peter J., Fertig, Emily, Snoek, Jasper, Popovsky, S. et al. Likelihood Ratios for Out-of-Distribution Detection. Advances in Neural Information Processing Systems, 2019.</w:t>
      </w:r>
    </w:p>
    <w:sectPr>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evisionView w:markup="0" w:comments="0" w:insDel="0" w:formatting="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before="0"/>
    </w:pPr>
    <w:rPr>
      <w:rFonts w:ascii="Times New Roman" w:hAnsi="Times New Roman" w:eastAsia="Times New Roman"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Times New Roman" w:hAnsi="Times New Roman" w:eastAsia="Times New Roman" w:cs="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ascii="Times New Roman" w:hAnsi="Times New Roman" w:eastAsia="Times New Roman" w:cs="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eastAsia="Times New Roman" w:cs="Times New Roman"/>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before="0"/>
      <w:contextualSpacing/>
    </w:pPr>
    <w:rPr>
      <w:rFonts w:asciiTheme="majorHAnsi" w:eastAsiaTheme="majorEastAsia" w:hAnsiTheme="majorHAnsi" w:cstheme="majorBidi" w:ascii="Times New Roman" w:hAnsi="Times New Roman" w:eastAsia="Times New Roman" w:cs="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2" w:lineRule="auto" w:before="0"/>
      <w:jc w:val="both"/>
    </w:pPr>
    <w:rPr>
      <w:rFonts w:ascii="Times New Roman" w:hAnsi="Times New Roman" w:eastAsia="Times New Roman" w:cs="Times New Roman"/>
      <w:b w:val="0"/>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2" w:lineRule="auto"/>
      <w:contextualSpacing/>
    </w:pPr>
    <w:rPr>
      <w:rFonts w:ascii="Times New Roman" w:hAnsi="Times New Roman" w:eastAsia="Times New Roman" w:cs="Times New Roman"/>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80" w:before="40"/>
    </w:pPr>
    <w:rPr>
      <w:rFonts w:ascii="Times New Roman" w:hAnsi="Times New Roman" w:eastAsia="Times New Roman" w:cs="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CausalFed-TGNN: Invariant Heterogeneous Temporal Graph Learning for Open-Set Federated Financial Fraud Detection</dc:title>
  <dc:subject>Blinded Q1 journal submission manuscript</dc:subject>
  <dc:creator/>
  <cp:keywords>Federated Learning; Heterogeneous Temporal Graphs; Invariant Representation Learning; Open-Set Recognition; Financial Fraud Detection; Continual Learning</cp:keywords>
  <dc:description>Blinded submission manuscript; scientific claims bounded to completed evidence.</dc:description>
  <cp:lastModifiedBy/>
  <cp:revision>1</cp:revision>
  <dcterms:created xsi:type="dcterms:W3CDTF">2013-12-23T23:15:00Z</dcterms:created>
  <dcterms:modified xsi:type="dcterms:W3CDTF">2013-12-23T23:15:00Z</dcterms:modified>
  <cp:category/>
</cp:coreProperties>
</file>