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jpeg" ContentType="image/jpeg"/>
  <Override PartName="/word/media/image5.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jc w:val="both"/>
        <w:rPr>
          <w:rFonts w:cs="Arial" w:ascii="Arial" w:hAnsi="Arial"/>
          <w:lang w:val="en-US" w:eastAsia="en-US" w:bidi="en-GB"/>
        </w:rPr>
      </w:pPr>
      <w:r>
        <w:rPr>
          <w:rFonts w:cs="Arial" w:ascii="Arial" w:hAnsi="Arial"/>
          <w:lang w:val="en-US" w:eastAsia="en-US" w:bidi="en-GB"/>
        </w:rPr>
        <w:t>Cambridge, January 27th, 2016</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Dear Genome Biology editors,</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We wish to submit our manuscript, “Computing normalization factors for single-cell RNA-seq data: avoiding problems with zero</w:t>
      </w:r>
    </w:p>
    <w:p>
      <w:pPr>
        <w:pStyle w:val="Normal"/>
        <w:widowControl w:val="false"/>
        <w:jc w:val="both"/>
        <w:rPr>
          <w:rFonts w:cs="Arial" w:ascii="Arial" w:hAnsi="Arial"/>
          <w:lang w:val="en-US" w:eastAsia="en-US" w:bidi="en-GB"/>
        </w:rPr>
      </w:pPr>
      <w:r>
        <w:rPr>
          <w:rFonts w:cs="Arial" w:ascii="Arial" w:hAnsi="Arial"/>
          <w:lang w:val="en-US" w:eastAsia="en-US" w:bidi="en-GB"/>
        </w:rPr>
        <w:t xml:space="preserve">counts”, for consideration as a research paper in Genome Biology. </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Single-cell RNA sequencing is a powerful tool for quantifying genome-wide expression in individual cells. Count data from this technique can be used to characterize novel subpopulations via clustering; to identify highly variable genes driving cellular heterogeneity; and to identify  differentially expressed genes associated with phenotypic differences between cells. However, differences in capture efficiency, sequencing depth and other technical effects lead to cell-specific biases that confound direct comparisons between the counts for different cells. </w:t>
      </w:r>
      <w:r>
        <w:rPr>
          <w:rFonts w:cs="Arial" w:ascii="Arial" w:hAnsi="Arial"/>
          <w:lang w:val="en-US" w:eastAsia="en-US" w:bidi="en-GB"/>
        </w:rPr>
        <w:t>Thus, a</w:t>
      </w:r>
      <w:r>
        <w:rPr>
          <w:rFonts w:cs="Arial" w:ascii="Arial" w:hAnsi="Arial"/>
          <w:lang w:val="en-US" w:eastAsia="en-US" w:bidi="en-GB"/>
        </w:rPr>
        <w:t>ccurate normalization of the count data is critical to removing these biases prior to any downstream analys</w:t>
      </w:r>
      <w:r>
        <w:rPr>
          <w:rFonts w:cs="Arial" w:ascii="Arial" w:hAnsi="Arial"/>
          <w:lang w:val="en-US" w:eastAsia="en-US" w:bidi="en-GB"/>
        </w:rPr>
        <w:t>i</w:t>
      </w:r>
      <w:r>
        <w:rPr>
          <w:rFonts w:cs="Arial" w:ascii="Arial" w:hAnsi="Arial"/>
          <w:lang w:val="en-US" w:eastAsia="en-US" w:bidi="en-GB"/>
        </w:rPr>
        <w:t>s.</w:t>
      </w:r>
    </w:p>
    <w:p>
      <w:pPr>
        <w:pStyle w:val="Normal"/>
        <w:widowControl w:val="false"/>
        <w:jc w:val="both"/>
        <w:rPr/>
      </w:pPr>
      <w:r>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A number of strategies have been proposed for normalizing RNA sequencing data, e.g., DESeq normalization, trimmed mean of M-values. However, many of these existing methods were designed for analyses of bulk data. Single-cell data is more problematic due to the presence of large numbers of zero counts. We show that existing methods fail to accurately normalize cell-specific biases, </w:t>
      </w:r>
      <w:r>
        <w:rPr>
          <w:rFonts w:cs="Arial" w:ascii="Arial" w:hAnsi="Arial"/>
          <w:lang w:val="en-US" w:eastAsia="en-US" w:bidi="en-GB"/>
        </w:rPr>
        <w:t xml:space="preserve">using </w:t>
      </w:r>
      <w:r>
        <w:rPr>
          <w:rFonts w:cs="Arial" w:ascii="Arial" w:hAnsi="Arial"/>
          <w:lang w:val="en-US" w:eastAsia="en-US" w:bidi="en-GB"/>
        </w:rPr>
        <w:t xml:space="preserve">simulations with many zeroes and DE genes. We propose a novel normalization strategy based on normalizing pools of cells, rather than </w:t>
      </w:r>
      <w:r>
        <w:rPr>
          <w:rFonts w:cs="Arial" w:ascii="Arial" w:hAnsi="Arial"/>
          <w:lang w:val="en-US" w:eastAsia="en-US" w:bidi="en-GB"/>
        </w:rPr>
        <w:t>based on</w:t>
      </w:r>
      <w:r>
        <w:rPr>
          <w:rFonts w:cs="Arial" w:ascii="Arial" w:hAnsi="Arial"/>
          <w:lang w:val="en-US" w:eastAsia="en-US" w:bidi="en-GB"/>
        </w:rPr>
        <w:t xml:space="preserve"> the individual cells themselves. Cell-specific normalization factors are then </w:t>
      </w:r>
      <w:r>
        <w:rPr>
          <w:rFonts w:cs="Arial" w:ascii="Arial" w:hAnsi="Arial"/>
          <w:lang w:val="en-US" w:eastAsia="en-US" w:bidi="en-GB"/>
        </w:rPr>
        <w:t>derived</w:t>
      </w:r>
      <w:r>
        <w:rPr>
          <w:rFonts w:cs="Arial" w:ascii="Arial" w:hAnsi="Arial"/>
          <w:lang w:val="en-US" w:eastAsia="en-US" w:bidi="en-GB"/>
        </w:rPr>
        <w:t xml:space="preserve"> from the pool-based </w:t>
      </w:r>
      <w:r>
        <w:rPr>
          <w:rFonts w:cs="Arial" w:ascii="Arial" w:hAnsi="Arial"/>
          <w:lang w:val="en-US" w:eastAsia="en-US" w:bidi="en-GB"/>
        </w:rPr>
        <w:t>estimates</w:t>
      </w:r>
      <w:r>
        <w:rPr>
          <w:rFonts w:cs="Arial" w:ascii="Arial" w:hAnsi="Arial"/>
          <w:lang w:val="en-US" w:eastAsia="en-US" w:bidi="en-GB"/>
        </w:rPr>
        <w:t xml:space="preserve">. This “deconvolution” approach is robust to high proportions of zero counts and provides accurate normalization </w:t>
      </w:r>
      <w:r>
        <w:rPr>
          <w:rFonts w:cs="Arial" w:ascii="Arial" w:hAnsi="Arial"/>
          <w:lang w:val="en-US" w:eastAsia="en-US" w:bidi="en-GB"/>
        </w:rPr>
        <w:t>of cell-specific biases</w:t>
      </w:r>
      <w:r>
        <w:rPr>
          <w:rFonts w:cs="Arial" w:ascii="Arial" w:hAnsi="Arial"/>
          <w:lang w:val="en-US" w:eastAsia="en-US" w:bidi="en-GB"/>
        </w:rPr>
        <w:t xml:space="preserve"> in our simulations. We observe similar differences in the behaviour of deconvolution compared to existing methods on several real data sets. In particular, we demonstrate that the differences </w:t>
      </w:r>
      <w:r>
        <w:rPr>
          <w:rFonts w:cs="Arial" w:ascii="Arial" w:hAnsi="Arial"/>
          <w:lang w:val="en-US" w:eastAsia="en-US" w:bidi="en-GB"/>
        </w:rPr>
        <w:t xml:space="preserve">between </w:t>
      </w:r>
      <w:r>
        <w:rPr>
          <w:rFonts w:cs="Arial" w:ascii="Arial" w:hAnsi="Arial"/>
          <w:lang w:val="en-US" w:eastAsia="en-US" w:bidi="en-GB"/>
        </w:rPr>
        <w:t xml:space="preserve">normalization </w:t>
      </w:r>
      <w:r>
        <w:rPr>
          <w:rFonts w:cs="Arial" w:ascii="Arial" w:hAnsi="Arial"/>
          <w:lang w:val="en-US" w:eastAsia="en-US" w:bidi="en-GB"/>
        </w:rPr>
        <w:t xml:space="preserve">methods </w:t>
      </w:r>
      <w:r>
        <w:rPr>
          <w:rFonts w:cs="Arial" w:ascii="Arial" w:hAnsi="Arial"/>
          <w:lang w:val="en-US" w:eastAsia="en-US" w:bidi="en-GB"/>
        </w:rPr>
        <w:t xml:space="preserve">have a substantial impact on the results of downstream quantitative analyses, such as </w:t>
      </w:r>
      <w:r>
        <w:rPr>
          <w:rFonts w:cs="Arial" w:ascii="Arial" w:hAnsi="Arial"/>
          <w:lang w:val="en-US" w:eastAsia="en-US" w:bidi="en-GB"/>
        </w:rPr>
        <w:t xml:space="preserve">in </w:t>
      </w:r>
      <w:r>
        <w:rPr>
          <w:rFonts w:cs="Arial" w:ascii="Arial" w:hAnsi="Arial"/>
          <w:lang w:val="en-US" w:eastAsia="en-US" w:bidi="en-GB"/>
        </w:rPr>
        <w:t>the detection of differentially expressed or highly variable genes.</w:t>
      </w:r>
    </w:p>
    <w:p>
      <w:pPr>
        <w:pStyle w:val="Normal"/>
        <w:widowControl w:val="false"/>
        <w:jc w:val="both"/>
        <w:rPr/>
      </w:pPr>
      <w:r>
        <w:rPr/>
      </w:r>
    </w:p>
    <w:p>
      <w:pPr>
        <w:pStyle w:val="Normal"/>
        <w:widowControl w:val="false"/>
        <w:jc w:val="both"/>
        <w:rPr>
          <w:rFonts w:cs="Arial" w:ascii="Arial" w:hAnsi="Arial"/>
          <w:lang w:val="en-US" w:eastAsia="en-US" w:bidi="en-GB"/>
        </w:rPr>
      </w:pPr>
      <w:r>
        <w:rPr>
          <w:rFonts w:cs="Arial" w:ascii="Arial" w:hAnsi="Arial"/>
          <w:lang w:val="en-US" w:eastAsia="en-US" w:bidi="en-GB"/>
        </w:rPr>
        <w:t>In summary, we believe that the method presented in this manuscript will improve the accuracy of normalization for of single-cell RNA sequencing data. This will improve the accuracy of downstream analyses and the validity of any ensuing biological conclusions. We anticipate that this will of great importance for future studies of gene expression at the single cell level.</w:t>
      </w:r>
    </w:p>
    <w:p>
      <w:pPr>
        <w:pStyle w:val="Normal"/>
        <w:widowControl w:val="false"/>
        <w:jc w:val="both"/>
        <w:rPr/>
      </w:pPr>
      <w:r>
        <w:rPr/>
      </w:r>
    </w:p>
    <w:p>
      <w:pPr>
        <w:pStyle w:val="Normal"/>
        <w:widowControl w:val="false"/>
        <w:jc w:val="both"/>
        <w:rPr>
          <w:rFonts w:ascii="Arial" w:hAnsi="Arial"/>
        </w:rPr>
      </w:pPr>
      <w:r>
        <w:rPr>
          <w:rFonts w:cs="Arial" w:ascii="Arial" w:hAnsi="Arial"/>
          <w:lang w:val="en-US" w:eastAsia="en-US" w:bidi="en-GB"/>
        </w:rPr>
        <w:t xml:space="preserve">We hope that our paper will be of interest to you and to Genome Biology. For reviewers, we suggest that Mark Robinson (University of Zurich, </w:t>
      </w:r>
      <w:hyperlink r:id="rId2">
        <w:r>
          <w:rPr>
            <w:rStyle w:val="InternetLink"/>
            <w:rFonts w:cs="Arial" w:ascii="Arial" w:hAnsi="Arial"/>
            <w:lang w:val="en-US" w:eastAsia="en-US" w:bidi="en-GB"/>
          </w:rPr>
          <w:t>mark.robinson@imls.uzh.ch</w:t>
        </w:r>
      </w:hyperlink>
      <w:r>
        <w:rPr>
          <w:rFonts w:cs="Arial" w:ascii="Arial" w:hAnsi="Arial"/>
          <w:lang w:val="en-US" w:eastAsia="en-US" w:bidi="en-GB"/>
        </w:rPr>
        <w:t xml:space="preserve">), Rafael Irizarry (Harvard University, </w:t>
      </w:r>
      <w:hyperlink r:id="rId3">
        <w:r>
          <w:rPr>
            <w:rStyle w:val="InternetLink"/>
            <w:rFonts w:ascii="Arial" w:hAnsi="Arial"/>
          </w:rPr>
          <w:t>rafa@jimmy.harvard.edu</w:t>
        </w:r>
      </w:hyperlink>
      <w:r>
        <w:rPr>
          <w:rFonts w:ascii="Arial" w:hAnsi="Arial"/>
        </w:rPr>
        <w:t xml:space="preserve">) and Sandrine Dudoit (University of California, Berkeley, </w:t>
      </w:r>
      <w:hyperlink r:id="rId4">
        <w:r>
          <w:rPr>
            <w:rStyle w:val="InternetLink"/>
            <w:rFonts w:ascii="Arial" w:hAnsi="Arial"/>
          </w:rPr>
          <w:t>sandrine@stat.berkeley.edu</w:t>
        </w:r>
      </w:hyperlink>
      <w:r>
        <w:rPr>
          <w:rFonts w:ascii="Arial" w:hAnsi="Arial"/>
        </w:rPr>
        <w:t>) be considered.</w:t>
      </w:r>
    </w:p>
    <w:p>
      <w:pPr>
        <w:pStyle w:val="Normal"/>
        <w:widowControl w:val="false"/>
        <w:jc w:val="both"/>
        <w:rPr>
          <w:rFonts w:ascii="Arial" w:hAnsi="Arial"/>
        </w:rPr>
      </w:pPr>
      <w:r>
        <w:rPr>
          <w:rFonts w:ascii="Arial" w:hAnsi="Arial"/>
        </w:rPr>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Yours sincerely,</w:t>
      </w:r>
    </w:p>
    <w:p>
      <w:pPr>
        <w:pStyle w:val="Normal"/>
        <w:widowControl w:val="false"/>
        <w:jc w:val="both"/>
        <w:rPr>
          <w:rFonts w:cs="Arial" w:ascii="Arial" w:hAnsi="Arial"/>
          <w:lang w:val="en-US" w:eastAsia="en-US"/>
        </w:rPr>
      </w:pPr>
      <w:r>
        <w:rPr>
          <w:rFonts w:cs="Arial" w:ascii="Arial" w:hAnsi="Arial"/>
          <w:lang w:val="en-US" w:eastAsia="en-US"/>
        </w:rPr>
        <w:t> </w:t>
      </w:r>
    </w:p>
    <w:p>
      <w:pPr>
        <w:pStyle w:val="Normal"/>
        <w:widowControl w:val="false"/>
        <w:jc w:val="both"/>
        <w:rPr/>
      </w:pPr>
      <w:r>
        <w:rPr/>
        <w:drawing>
          <wp:inline distT="0" distB="0" distL="0" distR="0">
            <wp:extent cx="1376680" cy="561340"/>
            <wp:effectExtent l="0" t="0" r="0" b="0"/>
            <wp:docPr id="0" name="Picture" descr="Macintosh HD:Users:marioni:Desktop:JohnMSignatu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marioni:Desktop:JohnMSignature.tiff"/>
                    <pic:cNvPicPr>
                      <a:picLocks noChangeAspect="1" noChangeArrowheads="1"/>
                    </pic:cNvPicPr>
                  </pic:nvPicPr>
                  <pic:blipFill>
                    <a:blip r:embed="rId5"/>
                    <a:stretch>
                      <a:fillRect/>
                    </a:stretch>
                  </pic:blipFill>
                  <pic:spPr bwMode="auto">
                    <a:xfrm>
                      <a:off x="0" y="0"/>
                      <a:ext cx="1376680" cy="561340"/>
                    </a:xfrm>
                    <a:prstGeom prst="rect">
                      <a:avLst/>
                    </a:prstGeom>
                    <a:noFill/>
                    <a:ln w="9525">
                      <a:noFill/>
                      <a:miter lim="800000"/>
                      <a:headEnd/>
                      <a:tailEnd/>
                    </a:ln>
                  </pic:spPr>
                </pic:pic>
              </a:graphicData>
            </a:graphic>
          </wp:inline>
        </w:drawing>
      </w:r>
    </w:p>
    <w:p>
      <w:pPr>
        <w:pStyle w:val="Normal"/>
        <w:widowControl w:val="false"/>
        <w:jc w:val="both"/>
        <w:rPr>
          <w:rFonts w:cs="Arial" w:ascii="Arial" w:hAnsi="Arial"/>
          <w:lang w:val="en-US" w:eastAsia="en-US"/>
        </w:rPr>
      </w:pPr>
      <w:r>
        <w:rPr>
          <w:rFonts w:cs="Arial" w:ascii="Arial" w:hAnsi="Arial"/>
          <w:lang w:val="en-US" w:eastAsia="en-US"/>
        </w:rPr>
        <w:t> </w:t>
      </w:r>
    </w:p>
    <w:p>
      <w:pPr>
        <w:pStyle w:val="Normal"/>
        <w:jc w:val="both"/>
        <w:rPr>
          <w:rFonts w:cs="Arial" w:ascii="Arial" w:hAnsi="Arial"/>
          <w:lang w:val="en-US" w:eastAsia="en-US"/>
        </w:rPr>
      </w:pPr>
      <w:r>
        <w:rPr>
          <w:rFonts w:cs="Arial" w:ascii="Arial" w:hAnsi="Arial"/>
          <w:lang w:val="en-US" w:eastAsia="en-US"/>
        </w:rPr>
        <w:t>John Marioni</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r>
    </w:p>
    <w:p>
      <w:pPr>
        <w:pStyle w:val="Normal"/>
        <w:pBdr>
          <w:top w:val="nil"/>
          <w:left w:val="nil"/>
          <w:bottom w:val="nil"/>
          <w:right w:val="nil"/>
        </w:pBdr>
        <w:rPr/>
      </w:pPr>
      <w:r>
        <w:rPr/>
      </w:r>
    </w:p>
    <w:p>
      <w:pPr>
        <w:pStyle w:val="Normal"/>
        <w:pBdr>
          <w:top w:val="nil"/>
          <w:left w:val="nil"/>
          <w:bottom w:val="nil"/>
          <w:right w:val="nil"/>
        </w:pBdr>
        <w:rPr/>
      </w:pPr>
      <w:r>
        <w:rPr/>
      </w:r>
    </w:p>
    <w:p>
      <w:pPr>
        <w:pStyle w:val="Header"/>
        <w:pBdr>
          <w:top w:val="nil"/>
          <w:left w:val="nil"/>
          <w:bottom w:val="nil"/>
          <w:right w:val="nil"/>
        </w:pBdr>
        <w:rPr/>
      </w:pPr>
      <w:r>
        <w:rPr/>
      </w:r>
    </w:p>
    <w:sectPr>
      <w:headerReference w:type="default" r:id="rId6"/>
      <w:headerReference w:type="first" r:id="rId7"/>
      <w:footerReference w:type="first" r:id="rId8"/>
      <w:type w:val="nextPage"/>
      <w:pgSz w:w="11906" w:h="16838"/>
      <w:pgMar w:left="1418" w:right="3459" w:header="709" w:top="277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NeueLT Pro 55 Roman">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HelveticaNeueLT Pro 75 B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HelveticaNeueLT Pro 75 Bd" w:hAnsi="HelveticaNeueLT Pro 75 Bd"/>
      </w:rPr>
    </w:pPr>
    <w:r>
      <w:rPr>
        <w:rFonts w:ascii="HelveticaNeueLT Pro 75 Bd" w:hAnsi="HelveticaNeueLT Pro 75 Bd"/>
      </w:rPr>
    </w:r>
    <w:r>
      <w:pict>
        <v:rect fillcolor="#FFFFFF" strokecolor="#000000" strokeweight="0pt" style="position:absolute;width:350.95pt;height:110.3pt;mso-wrap-distance-left:9.05pt;mso-wrap-distance-right:9.05pt;mso-wrap-distance-top:0pt;mso-wrap-distance-bottom:0pt;margin-top:-59.5pt;margin-left:5.15pt">
          <v:fill opacity="0f"/>
          <v:textbox inset="0in,0in,0in,0in">
            <w:txbxContent>
              <w:p>
                <w:pPr>
                  <w:pStyle w:val="Normal"/>
                  <w:pBdr>
                    <w:top w:val="nil"/>
                    <w:left w:val="nil"/>
                    <w:bottom w:val="nil"/>
                    <w:right w:val="nil"/>
                  </w:pBdr>
                  <w:rPr/>
                </w:pPr>
                <w:r>
                  <w:rPr/>
                </w:r>
              </w:p>
            </w:txbxContent>
          </v:textbox>
          <w10:wrap type="topAndBottom"/>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r>
      <w:pict>
        <v:rect fillcolor="#FFFFFF" strokecolor="#000000" strokeweight="0pt" style="position:absolute;width:1.15pt;height:1.15pt;mso-wrap-distance-left:-0.05pt;mso-wrap-distance-right:-0.05pt;mso-wrap-distance-top:0pt;mso-wrap-distance-bottom:0pt;margin-top:0.05pt;margin-left:0.05pt">
          <v:fill opacity="0f"/>
          <v:textbox inset="0in,0in,0in,0in">
            <w:txbxContent>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r>
      <w:pict>
        <v:rect fillcolor="#FFFFFF" strokecolor="#000000" strokeweight="0pt" style="position:absolute;width:134.95pt;height:72pt;mso-wrap-distance-left:-0.05pt;mso-wrap-distance-right:-0.05pt;mso-wrap-distance-top:0pt;mso-wrap-distance-bottom:0pt;margin-top:51.95pt;margin-left:429.1pt">
          <v:fill opacity="0f"/>
          <v:textbox inset="0in,0in,0in,0in">
            <w:txbxContent>
              <w:p>
                <w:pPr>
                  <w:pStyle w:val="Normal"/>
                  <w:pBdr>
                    <w:top w:val="nil"/>
                    <w:left w:val="nil"/>
                    <w:bottom w:val="nil"/>
                    <w:right w:val="nil"/>
                  </w:pBdr>
                  <w:rPr/>
                </w:pPr>
                <w:r>
                  <w:rPr/>
                  <w:drawing>
                    <wp:inline distT="0" distB="0" distL="0" distR="0">
                      <wp:extent cx="1701800" cy="723900"/>
                      <wp:effectExtent l="0" t="0" r="0" b="0"/>
                      <wp:docPr id="1" name="Picture" descr="rgb_logo_2006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gb_logo_2006_300dpi"/>
                              <pic:cNvPicPr>
                                <a:picLocks noChangeAspect="1" noChangeArrowheads="1"/>
                              </pic:cNvPicPr>
                            </pic:nvPicPr>
                            <pic:blipFill>
                              <a:blip r:embed="rId1"/>
                              <a:stretch>
                                <a:fillRect/>
                              </a:stretch>
                            </pic:blipFill>
                            <pic:spPr bwMode="auto">
                              <a:xfrm>
                                <a:off x="0" y="0"/>
                                <a:ext cx="1701800" cy="723900"/>
                              </a:xfrm>
                              <a:prstGeom prst="rect">
                                <a:avLst/>
                              </a:prstGeom>
                              <a:noFill/>
                              <a:ln w="9525">
                                <a:noFill/>
                                <a:miter lim="800000"/>
                                <a:headEnd/>
                                <a:tailEnd/>
                              </a:ln>
                            </pic:spPr>
                          </pic:pic>
                        </a:graphicData>
                      </a:graphic>
                    </wp:inline>
                  </w:drawing>
                </w:r>
              </w:p>
            </w:txbxContent>
          </v:textbox>
          <w10:wrap type="square"/>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drawing>
        <wp:anchor behindDoc="1" distT="0" distB="0" distL="114935" distR="114935" simplePos="0" locked="0" layoutInCell="1" allowOverlap="1">
          <wp:simplePos x="0" y="0"/>
          <wp:positionH relativeFrom="page">
            <wp:posOffset>4966335</wp:posOffset>
          </wp:positionH>
          <wp:positionV relativeFrom="page">
            <wp:posOffset>459740</wp:posOffset>
          </wp:positionV>
          <wp:extent cx="2057400" cy="647700"/>
          <wp:effectExtent l="0" t="0" r="0" b="0"/>
          <wp:wrapSquare wrapText="bothSides"/>
          <wp:docPr id="2" name="Picture" descr="embl-ebi_word-docum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mbl-ebi_word-document_logo"/>
                  <pic:cNvPicPr>
                    <a:picLocks noChangeAspect="1" noChangeArrowheads="1"/>
                  </pic:cNvPicPr>
                </pic:nvPicPr>
                <pic:blipFill>
                  <a:blip r:embed="rId1"/>
                  <a:stretch>
                    <a:fillRect/>
                  </a:stretch>
                </pic:blipFill>
                <pic:spPr bwMode="auto">
                  <a:xfrm>
                    <a:off x="0" y="0"/>
                    <a:ext cx="2057400" cy="647700"/>
                  </a:xfrm>
                  <a:prstGeom prst="rect">
                    <a:avLst/>
                  </a:prstGeom>
                  <a:noFill/>
                  <a:ln w="9525">
                    <a:noFill/>
                    <a:miter lim="800000"/>
                    <a:headEnd/>
                    <a:tailEnd/>
                  </a:ln>
                </pic:spPr>
              </pic:pic>
            </a:graphicData>
          </a:graphic>
        </wp:anchor>
      </w:drawing>
    </w:r>
    <w:r>
      <w:pict>
        <v:rect fillcolor="#FFFFFF" strokecolor="#000000" strokeweight="0pt" style="position:absolute;width:135pt;height:225pt;mso-wrap-distance-left:9pt;mso-wrap-distance-right:9pt;mso-wrap-distance-top:0pt;mso-wrap-distance-bottom:0pt;margin-top:101.1pt;margin-left:428.75pt">
          <v:fill opacity="0f"/>
          <v:textbox inset="0in,0in,0in,0in">
            <w:txbxContent>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t>John Marioni PhD</w:t>
                  <w:tab/>
                </w:r>
              </w:p>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r>
              </w:p>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t>Research Group Leader, EMBL-EBI</w:t>
                </w:r>
              </w:p>
              <w:p>
                <w:pPr>
                  <w:pStyle w:val="Normal"/>
                  <w:pBdr>
                    <w:top w:val="nil"/>
                    <w:left w:val="nil"/>
                    <w:bottom w:val="nil"/>
                    <w:right w:val="nil"/>
                  </w:pBdr>
                  <w:rPr>
                    <w:rFonts w:cs="Arial" w:ascii="Arial" w:hAnsi="Arial"/>
                    <w:sz w:val="16"/>
                    <w:szCs w:val="16"/>
                  </w:rPr>
                </w:pPr>
                <w:r>
                  <w:rPr>
                    <w:rFonts w:cs="Arial" w:ascii="Arial" w:hAnsi="Arial"/>
                    <w:sz w:val="16"/>
                    <w:szCs w:val="16"/>
                  </w:rPr>
                  <w:t>Associate Faculty, WT Sanger Institute</w:t>
                </w:r>
              </w:p>
              <w:p>
                <w:pPr>
                  <w:pStyle w:val="Normal"/>
                  <w:pBdr>
                    <w:top w:val="nil"/>
                    <w:left w:val="nil"/>
                    <w:bottom w:val="nil"/>
                    <w:right w:val="nil"/>
                  </w:pBdr>
                  <w:rPr>
                    <w:rFonts w:cs="Arial" w:ascii="Arial" w:hAnsi="Arial"/>
                    <w:sz w:val="16"/>
                    <w:szCs w:val="16"/>
                  </w:rPr>
                </w:pPr>
                <w:r>
                  <w:rPr>
                    <w:rFonts w:cs="Arial" w:ascii="Arial" w:hAnsi="Arial"/>
                    <w:sz w:val="16"/>
                    <w:szCs w:val="16"/>
                  </w:rPr>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Wellcome Genome Campus</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Hinxton</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Cambridge</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CB10 1SD</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UK</w:t>
                </w:r>
              </w:p>
              <w:p>
                <w:pPr>
                  <w:pStyle w:val="Normal"/>
                  <w:pBdr>
                    <w:top w:val="nil"/>
                    <w:left w:val="nil"/>
                    <w:bottom w:val="nil"/>
                    <w:right w:val="nil"/>
                  </w:pBdr>
                  <w:rPr>
                    <w:rFonts w:ascii="Arial" w:hAnsi="Arial"/>
                    <w:sz w:val="16"/>
                    <w:szCs w:val="16"/>
                    <w:lang w:val="en-US"/>
                  </w:rPr>
                </w:pPr>
                <w:r>
                  <w:rPr>
                    <w:rFonts w:ascii="Arial" w:hAnsi="Arial"/>
                    <w:sz w:val="16"/>
                    <w:szCs w:val="16"/>
                    <w:lang w:val="en-US"/>
                  </w:rPr>
                </w:r>
              </w:p>
              <w:p>
                <w:pPr>
                  <w:pStyle w:val="Normal"/>
                  <w:pBdr>
                    <w:top w:val="nil"/>
                    <w:left w:val="nil"/>
                    <w:bottom w:val="nil"/>
                    <w:right w:val="nil"/>
                  </w:pBdr>
                  <w:rPr>
                    <w:rFonts w:ascii="Arial" w:hAnsi="Arial"/>
                    <w:sz w:val="16"/>
                    <w:szCs w:val="16"/>
                    <w:lang w:val="en-US"/>
                  </w:rPr>
                </w:pPr>
                <w:r>
                  <w:rPr>
                    <w:rFonts w:ascii="Arial" w:hAnsi="Arial"/>
                    <w:sz w:val="16"/>
                    <w:szCs w:val="16"/>
                    <w:lang w:val="en-US"/>
                  </w:rPr>
                  <w:t>Senior Group Leader</w:t>
                </w:r>
              </w:p>
              <w:p>
                <w:pPr>
                  <w:pStyle w:val="Normal"/>
                  <w:pBdr>
                    <w:top w:val="nil"/>
                    <w:left w:val="nil"/>
                    <w:bottom w:val="nil"/>
                    <w:right w:val="nil"/>
                  </w:pBdr>
                  <w:rPr>
                    <w:rFonts w:ascii="Arial" w:hAnsi="Arial"/>
                    <w:sz w:val="16"/>
                    <w:szCs w:val="16"/>
                    <w:lang w:val="en-US"/>
                  </w:rPr>
                </w:pPr>
                <w:r>
                  <w:rPr>
                    <w:rFonts w:ascii="Arial" w:hAnsi="Arial"/>
                    <w:sz w:val="16"/>
                    <w:szCs w:val="16"/>
                    <w:lang w:val="en-US"/>
                  </w:rPr>
                  <w:t>CRUK Cambridge Institute</w:t>
                </w:r>
              </w:p>
              <w:p>
                <w:pPr>
                  <w:pStyle w:val="Normal"/>
                  <w:pBdr>
                    <w:top w:val="nil"/>
                    <w:left w:val="nil"/>
                    <w:bottom w:val="nil"/>
                    <w:right w:val="nil"/>
                  </w:pBdr>
                  <w:rPr>
                    <w:rFonts w:ascii="Arial" w:hAnsi="Arial"/>
                    <w:sz w:val="16"/>
                    <w:szCs w:val="16"/>
                    <w:lang w:val="en-US"/>
                  </w:rPr>
                </w:pPr>
                <w:r>
                  <w:rPr>
                    <w:rFonts w:ascii="Arial" w:hAnsi="Arial"/>
                    <w:sz w:val="16"/>
                    <w:szCs w:val="16"/>
                    <w:lang w:val="en-US"/>
                  </w:rPr>
                  <w:t>University of Cambridge</w:t>
                </w:r>
              </w:p>
              <w:p>
                <w:pPr>
                  <w:pStyle w:val="Normal"/>
                  <w:pBdr>
                    <w:top w:val="nil"/>
                    <w:left w:val="nil"/>
                    <w:bottom w:val="nil"/>
                    <w:right w:val="nil"/>
                  </w:pBdr>
                  <w:rPr>
                    <w:rFonts w:ascii="Arial" w:hAnsi="Arial"/>
                    <w:sz w:val="16"/>
                    <w:szCs w:val="16"/>
                    <w:lang w:val="en-US"/>
                  </w:rPr>
                </w:pPr>
                <w:r>
                  <w:rPr>
                    <w:rFonts w:ascii="Arial" w:hAnsi="Arial"/>
                    <w:sz w:val="16"/>
                    <w:szCs w:val="16"/>
                    <w:lang w:val="en-US"/>
                  </w:rPr>
                  <w:t>Cambridge</w:t>
                </w:r>
              </w:p>
              <w:p>
                <w:pPr>
                  <w:pStyle w:val="Normal"/>
                  <w:pBdr>
                    <w:top w:val="nil"/>
                    <w:left w:val="nil"/>
                    <w:bottom w:val="nil"/>
                    <w:right w:val="nil"/>
                  </w:pBdr>
                  <w:rPr>
                    <w:rFonts w:ascii="Arial" w:hAnsi="Arial"/>
                    <w:sz w:val="16"/>
                    <w:szCs w:val="16"/>
                    <w:lang w:val="en-US"/>
                  </w:rPr>
                </w:pPr>
                <w:r>
                  <w:rPr>
                    <w:rFonts w:ascii="Arial" w:hAnsi="Arial"/>
                    <w:sz w:val="16"/>
                    <w:szCs w:val="16"/>
                    <w:lang w:val="en-US"/>
                  </w:rPr>
                  <w:t>CB2 0RE</w:t>
                </w:r>
              </w:p>
              <w:p>
                <w:pPr>
                  <w:pStyle w:val="Normal"/>
                  <w:pBdr>
                    <w:top w:val="nil"/>
                    <w:left w:val="nil"/>
                    <w:bottom w:val="nil"/>
                    <w:right w:val="nil"/>
                  </w:pBdr>
                  <w:rPr>
                    <w:rFonts w:ascii="Arial" w:hAnsi="Arial"/>
                    <w:sz w:val="16"/>
                    <w:szCs w:val="16"/>
                    <w:lang w:val="en-US"/>
                  </w:rPr>
                </w:pPr>
                <w:r>
                  <w:rPr>
                    <w:rFonts w:ascii="Arial" w:hAnsi="Arial"/>
                    <w:sz w:val="16"/>
                    <w:szCs w:val="16"/>
                    <w:lang w:val="en-US"/>
                  </w:rPr>
                  <w:t>UK</w:t>
                </w:r>
              </w:p>
              <w:p>
                <w:pPr>
                  <w:pStyle w:val="Normal"/>
                  <w:pBdr>
                    <w:top w:val="nil"/>
                    <w:left w:val="nil"/>
                    <w:bottom w:val="nil"/>
                    <w:right w:val="nil"/>
                  </w:pBdr>
                  <w:rPr>
                    <w:rFonts w:ascii="Arial" w:hAnsi="Arial"/>
                    <w:sz w:val="16"/>
                    <w:szCs w:val="16"/>
                    <w:lang w:val="en-US"/>
                  </w:rPr>
                </w:pPr>
                <w:r>
                  <w:rPr>
                    <w:rFonts w:ascii="Arial" w:hAnsi="Arial"/>
                    <w:sz w:val="16"/>
                    <w:szCs w:val="16"/>
                    <w:lang w:val="en-US"/>
                  </w:rPr>
                </w:r>
              </w:p>
              <w:p>
                <w:pPr>
                  <w:pStyle w:val="Normal"/>
                  <w:pBdr>
                    <w:top w:val="nil"/>
                    <w:left w:val="nil"/>
                    <w:bottom w:val="nil"/>
                    <w:right w:val="nil"/>
                  </w:pBdr>
                  <w:rPr>
                    <w:rFonts w:ascii="Arial" w:hAnsi="Arial"/>
                    <w:sz w:val="16"/>
                    <w:szCs w:val="16"/>
                    <w:lang w:val="en-US"/>
                  </w:rPr>
                </w:pPr>
                <w:r>
                  <w:rPr>
                    <w:rFonts w:ascii="Arial" w:hAnsi="Arial"/>
                    <w:sz w:val="16"/>
                    <w:szCs w:val="16"/>
                    <w:lang w:val="en-US"/>
                  </w:rPr>
                  <w:t>T +44 (0) 1223 494444</w:t>
                </w:r>
              </w:p>
              <w:p>
                <w:pPr>
                  <w:pStyle w:val="Normal"/>
                  <w:pBdr>
                    <w:top w:val="nil"/>
                    <w:left w:val="nil"/>
                    <w:bottom w:val="nil"/>
                    <w:right w:val="nil"/>
                  </w:pBdr>
                  <w:rPr>
                    <w:rFonts w:ascii="Arial" w:hAnsi="Arial"/>
                    <w:sz w:val="16"/>
                    <w:szCs w:val="16"/>
                    <w:lang w:val="en-US"/>
                  </w:rPr>
                </w:pPr>
                <w:r>
                  <w:rPr>
                    <w:rFonts w:ascii="Arial" w:hAnsi="Arial"/>
                    <w:sz w:val="16"/>
                    <w:szCs w:val="16"/>
                    <w:lang w:val="en-US"/>
                  </w:rPr>
                  <w:t>F +44 (0) 1223 494496</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E-mail: marioni@ebi.ac.uk</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r>
              </w:p>
            </w:txbxContent>
          </v:textbox>
          <w10:wrap type="square"/>
        </v:rect>
      </w:pict>
    </w:r>
  </w:p>
</w:hdr>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sz w:val="24"/>
        <w:szCs w:val="24"/>
        <w:lang w:val="en-GB" w:eastAsia="en-US" w:bidi="ar-SA"/>
      </w:rPr>
    </w:rPrDefault>
    <w:pPrDefault>
      <w:pPr/>
    </w:pPrDefault>
  </w:docDefaults>
  <w:latentStyles w:count="276" w:defQFormat="0" w:defUnhideWhenUsed="0" w:defSemiHidden="0" w:defUIPriority="0" w:defLockedState="0"/>
  <w:style w:type="paragraph" w:styleId="Normal" w:default="1">
    <w:name w:val="Normal"/>
    <w:qFormat/>
    <w:rsid w:val="00005dad"/>
    <w:pPr>
      <w:widowControl/>
      <w:suppressAutoHyphens w:val="true"/>
      <w:bidi w:val="0"/>
      <w:jc w:val="left"/>
    </w:pPr>
    <w:rPr>
      <w:rFonts w:ascii="HelveticaNeueLT Pro 55 Roman" w:hAnsi="HelveticaNeueLT Pro 55 Roman" w:eastAsia="Times New Roman" w:cs="Times New Roman"/>
      <w:color w:val="00000A"/>
      <w:sz w:val="24"/>
      <w:szCs w:val="24"/>
      <w:lang w:val="de-DE" w:eastAsia="de-DE" w:bidi="ar-SA"/>
    </w:rPr>
  </w:style>
  <w:style w:type="paragraph" w:styleId="Heading1">
    <w:name w:val="Heading 1"/>
    <w:qFormat/>
    <w:rsid w:val="00b81064"/>
    <w:basedOn w:val="Normal"/>
    <w:next w:val="Normal"/>
    <w:pPr>
      <w:keepNext/>
      <w:spacing w:before="240" w:after="60"/>
      <w:outlineLvl w:val="0"/>
    </w:pPr>
    <w:rPr>
      <w:rFonts w:ascii="Arial" w:hAnsi="Arial" w:cs="Arial"/>
      <w:b/>
      <w:bCs/>
      <w:sz w:val="32"/>
      <w:szCs w:val="32"/>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Pagenumber">
    <w:name w:val="page number"/>
    <w:rsid w:val="00b81064"/>
    <w:basedOn w:val="DefaultParagraphFont"/>
    <w:rPr/>
  </w:style>
  <w:style w:type="character" w:styleId="InternetLink">
    <w:name w:val="Internet Link"/>
    <w:rsid w:val="00b81064"/>
    <w:basedOn w:val="DefaultParagraphFont"/>
    <w:rPr>
      <w:color w:val="0000FF"/>
      <w:u w:val="single"/>
      <w:lang w:val="zxx" w:eastAsia="zxx" w:bidi="zxx"/>
    </w:rPr>
  </w:style>
  <w:style w:type="character" w:styleId="BalloonTextChar" w:customStyle="1">
    <w:name w:val="Balloon Text Char"/>
    <w:uiPriority w:val="99"/>
    <w:semiHidden/>
    <w:link w:val="BalloonText"/>
    <w:rsid w:val="00ff1ffa"/>
    <w:basedOn w:val="DefaultParagraphFont"/>
    <w:rPr>
      <w:rFonts w:ascii="Lucida Grande" w:hAnsi="Lucida Grande" w:cs="Lucida Grande"/>
      <w:sz w:val="18"/>
      <w:szCs w:val="18"/>
      <w:lang w:val="de-DE" w:eastAsia="de-DE"/>
    </w:rPr>
  </w:style>
  <w:style w:type="character" w:styleId="ListLabel1">
    <w:name w:val="ListLabel 1"/>
    <w:rPr>
      <w:rFonts w:eastAsia="Times New Roman" w:cs="Arial"/>
    </w:rPr>
  </w:style>
  <w:style w:type="character" w:styleId="ListLabel2">
    <w:name w:val="ListLabel 2"/>
    <w:rPr>
      <w:rFonts w:eastAsia="Times New Roman" w:cs="Arial"/>
      <w:b/>
    </w:rPr>
  </w:style>
  <w:style w:type="character" w:styleId="ListLabel3">
    <w:name w:val="ListLabel 3"/>
    <w:rPr>
      <w:rFonts w:cs="Aria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Arial"/>
      <w:b/>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b81064"/>
    <w:basedOn w:val="Normal"/>
    <w:pPr>
      <w:tabs>
        <w:tab w:val="center" w:pos="4536" w:leader="none"/>
        <w:tab w:val="right" w:pos="9072" w:leader="none"/>
      </w:tabs>
    </w:pPr>
    <w:rPr/>
  </w:style>
  <w:style w:type="paragraph" w:styleId="Footer">
    <w:name w:val="Footer"/>
    <w:rsid w:val="00b81064"/>
    <w:basedOn w:val="Normal"/>
    <w:pPr>
      <w:tabs>
        <w:tab w:val="center" w:pos="4536" w:leader="none"/>
        <w:tab w:val="right" w:pos="9072" w:leader="none"/>
      </w:tabs>
    </w:pPr>
    <w:rPr/>
  </w:style>
  <w:style w:type="paragraph" w:styleId="DocumentMap">
    <w:name w:val="Document Map"/>
    <w:semiHidden/>
    <w:rsid w:val="00b81064"/>
    <w:basedOn w:val="Normal"/>
    <w:pPr>
      <w:shd w:fill="000080" w:val="clear"/>
    </w:pPr>
    <w:rPr>
      <w:rFonts w:ascii="Tahoma" w:hAnsi="Tahoma" w:cs="Tahoma"/>
    </w:rPr>
  </w:style>
  <w:style w:type="paragraph" w:styleId="BalloonText">
    <w:name w:val="Balloon Text"/>
    <w:uiPriority w:val="99"/>
    <w:semiHidden/>
    <w:unhideWhenUsed/>
    <w:link w:val="BalloonTextChar"/>
    <w:rsid w:val="00ff1ffa"/>
    <w:basedOn w:val="Normal"/>
    <w:pPr/>
    <w:rPr>
      <w:rFonts w:ascii="Lucida Grande" w:hAnsi="Lucida Grande" w:cs="Lucida Grande"/>
      <w:sz w:val="18"/>
      <w:szCs w:val="18"/>
    </w:rPr>
  </w:style>
  <w:style w:type="paragraph" w:styleId="ListParagraph">
    <w:name w:val="List Paragraph"/>
    <w:rsid w:val="0060563c"/>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robinson@imls.uzh.ch" TargetMode="External"/><Relationship Id="rId3" Type="http://schemas.openxmlformats.org/officeDocument/2006/relationships/hyperlink" Target="mailto:rafa@jimmy.harvard.edu" TargetMode="External"/><Relationship Id="rId4" Type="http://schemas.openxmlformats.org/officeDocument/2006/relationships/hyperlink" Target="mailto:sandrine@stat.berkeley.edu" TargetMode="Externa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\EMBL-EBI_letterhead.dot</Template>
  <TotalTime>183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2014-03-21T15:15:00Z</dcterms:created>
  <dc:creator>Gulam</dc:creator>
  <dc:language>en-GB</dc:language>
  <cp:lastModifiedBy>John Marioni</cp:lastModifiedBy>
  <cp:lastPrinted>2010-10-28T08:21:00Z</cp:lastPrinted>
  <dcterms:modified xsi:type="dcterms:W3CDTF">2015-12-17T16:04:00Z</dcterms:modified>
  <cp:revision>48</cp:revision>
  <dc:title>Name</dc:title>
</cp:coreProperties>
</file>