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0.svg" ContentType="image/svg+xml;charset=utf-8"/>
  <Override PartName="/word/media/rId26.svg" ContentType="image/svg+xml"/>
  <Override PartName="/word/media/rId22.svg" ContentType="image/svg+xml"/>
  <Override PartName="/word/media/rId24.svg" ContentType="image/svg+xml;charset=utf-8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drawing>
            <wp:inline>
              <wp:extent cx="857250" cy="190500"/>
              <wp:effectExtent b="0" l="0" r="0" t="0"/>
              <wp:docPr descr="Build Status" title="" id="1" name="Picture"/>
              <a:graphic>
                <a:graphicData uri="http://schemas.openxmlformats.org/drawingml/2006/picture">
                  <pic:pic>
                    <pic:nvPicPr>
                      <pic:cNvPr descr="http://18.194.224.158:8080/job/antigen.garnish/badge/ico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3">
        <w:r>
          <w:drawing>
            <wp:inline>
              <wp:extent cx="914400" cy="190500"/>
              <wp:effectExtent b="0" l="0" r="0" t="0"/>
              <wp:docPr descr="codecov.io" title="" id="1" name="Picture"/>
              <a:graphic>
                <a:graphicData uri="http://schemas.openxmlformats.org/drawingml/2006/picture">
                  <pic:pic>
                    <pic:nvPicPr>
                      <pic:cNvPr descr="https://codecov.io/github/andrewrech/antigen.garnish/coverage.svg?branch=master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4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drawing>
          <wp:inline>
            <wp:extent cx="85725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.shields.io/badge/version-0.0.5-blu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ntigen.garnish"/>
      <w:r>
        <w:t xml:space="preserve">antigen.garnish</w:t>
      </w:r>
      <w:bookmarkEnd w:id="25"/>
    </w:p>
    <w:p>
      <w:pPr>
        <w:pStyle w:val="FirstParagraph"/>
      </w:pPr>
      <w:r>
        <w:t xml:space="preserve">Ensemble neoepitope prediction from DNA variants in R.</w:t>
      </w:r>
    </w:p>
    <w:p>
      <w:pPr>
        <w:pStyle w:val="BodyText"/>
      </w:pPr>
      <w:r>
        <w:drawing>
          <wp:inline>
            <wp:extent cx="6105525" cy="1276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get.rech.io/antigen.garnish_flowch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escription"/>
      <w:r>
        <w:t xml:space="preserve">Description</w:t>
      </w:r>
      <w:bookmarkEnd w:id="27"/>
    </w:p>
    <w:p>
      <w:pPr>
        <w:pStyle w:val="FirstParagraph"/>
      </w:pPr>
      <w:r>
        <w:t xml:space="preserve">An R package for</w:t>
      </w:r>
      <w:r>
        <w:t xml:space="preserve"> </w:t>
      </w:r>
      <w:hyperlink r:id="rId28">
        <w:r>
          <w:rPr>
            <w:rStyle w:val="Hyperlink"/>
          </w:rPr>
          <w:t xml:space="preserve">neoepitope</w:t>
        </w:r>
      </w:hyperlink>
      <w:r>
        <w:t xml:space="preserve"> </w:t>
      </w:r>
      <w:r>
        <w:t xml:space="preserve">analysis that takes human or murine DNA missense mutations, insertions, deletions, and gene fusions and performs neoepitope prediction. Input is a VCF file or table of peptides. Output is neoepitopes and a summary of neoepitope load and fitness by sample.</w:t>
      </w:r>
      <w:r>
        <w:t xml:space="preserve"> </w:t>
      </w:r>
      <w:hyperlink r:id="rId29">
        <w:r>
          <w:rPr>
            <w:rStyle w:val="Hyperlink"/>
          </w:rPr>
          <w:t xml:space="preserve">More information.</w:t>
        </w:r>
      </w:hyperlink>
    </w:p>
    <w:p>
      <w:pPr>
        <w:pStyle w:val="Heading3"/>
      </w:pPr>
      <w:bookmarkStart w:id="30" w:name="advantages"/>
      <w:r>
        <w:t xml:space="preserve">Advantages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Thoroughness</w:t>
      </w:r>
      <w:r>
        <w:t xml:space="preserve">:</w:t>
      </w:r>
      <w:r>
        <w:t xml:space="preserve"> </w:t>
      </w:r>
      <w:r>
        <w:t xml:space="preserve">+ missense mutations, insertions, deletions, and gene fusions</w:t>
      </w:r>
      <w:r>
        <w:t xml:space="preserve"> </w:t>
      </w:r>
      <w:r>
        <w:t xml:space="preserve">+ human and mouse</w:t>
      </w:r>
      <w:r>
        <w:t xml:space="preserve"> </w:t>
      </w:r>
      <w:r>
        <w:t xml:space="preserve">+ ensemble MHC class I/II binding prediction using</w:t>
      </w:r>
      <w:r>
        <w:t xml:space="preserve"> </w:t>
      </w:r>
      <w:hyperlink r:id="rId31">
        <w:r>
          <w:rPr>
            <w:rStyle w:val="Hyperlink"/>
          </w:rPr>
          <w:t xml:space="preserve">mhcflurry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mhcnuggets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netMHC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netMHCII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netMHCpan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netMHCIIpan</w:t>
        </w:r>
      </w:hyperlink>
      <w:r>
        <w:t xml:space="preserve"> </w:t>
      </w:r>
      <w:r>
        <w:t xml:space="preserve">+ rank by dissimilarity to the normal peptidome / similarity to known immunogenic antigens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Speed and simplicity</w:t>
      </w:r>
      <w:r>
        <w:t xml:space="preserve">:</w:t>
      </w:r>
      <w:r>
        <w:t xml:space="preserve"> </w:t>
      </w:r>
      <w:r>
        <w:t xml:space="preserve">+ 1000 variants are ranked in a single step in less than five minutes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Integration with R/Bioconductor</w:t>
      </w:r>
      <w:r>
        <w:t xml:space="preserve"> </w:t>
      </w:r>
      <w:r>
        <w:t xml:space="preserve">+ upstream/VCF processing</w:t>
      </w:r>
      <w:r>
        <w:t xml:space="preserve"> </w:t>
      </w:r>
      <w:r>
        <w:t xml:space="preserve">+ exploratory data analysis, visualization</w:t>
      </w:r>
    </w:p>
    <w:p>
      <w:pPr>
        <w:pStyle w:val="Heading2"/>
      </w:pPr>
      <w:bookmarkStart w:id="37" w:name="installation"/>
      <w:r>
        <w:t xml:space="preserve">Installation</w:t>
      </w:r>
      <w:bookmarkEnd w:id="37"/>
    </w:p>
    <w:p>
      <w:pPr>
        <w:pStyle w:val="Heading3"/>
      </w:pPr>
      <w:bookmarkStart w:id="38" w:name="requirements"/>
      <w:r>
        <w:t xml:space="preserve">Requirements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Linux</w:t>
      </w:r>
    </w:p>
    <w:p>
      <w:pPr>
        <w:pStyle w:val="Compact"/>
        <w:numPr>
          <w:numId w:val="1002"/>
          <w:ilvl w:val="0"/>
        </w:numPr>
      </w:pPr>
      <w:r>
        <w:t xml:space="preserve">R ≥ 3.4</w:t>
      </w:r>
    </w:p>
    <w:p>
      <w:pPr>
        <w:pStyle w:val="Compact"/>
        <w:numPr>
          <w:numId w:val="1002"/>
          <w:ilvl w:val="0"/>
        </w:numPr>
      </w:pPr>
      <w:r>
        <w:t xml:space="preserve">python-pip</w:t>
      </w:r>
    </w:p>
    <w:p>
      <w:pPr>
        <w:pStyle w:val="Heading3"/>
      </w:pPr>
      <w:bookmarkStart w:id="39" w:name="install-prediction-tools-and-antigen.garnish"/>
      <w:r>
        <w:t xml:space="preserve">Install prediction tools and</w:t>
      </w:r>
      <w:r>
        <w:t xml:space="preserve"> </w:t>
      </w:r>
      <w:r>
        <w:rPr>
          <w:rStyle w:val="VerbatimChar"/>
        </w:rPr>
        <w:t xml:space="preserve">antigen.garnish</w:t>
      </w:r>
      <w:bookmarkEnd w:id="39"/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-fsSL http://get.rech.io/antigen.garnish.sh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sh</w:t>
      </w:r>
    </w:p>
    <w:p>
      <w:pPr>
        <w:pStyle w:val="Heading2"/>
      </w:pPr>
      <w:bookmarkStart w:id="41" w:name="package-documentation"/>
      <w:hyperlink r:id="rId40">
        <w:r>
          <w:rPr>
            <w:rStyle w:val="Hyperlink"/>
          </w:rPr>
          <w:t xml:space="preserve">Package documentation</w:t>
        </w:r>
      </w:hyperlink>
      <w:bookmarkEnd w:id="41"/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garnish_variants</w:t>
      </w:r>
      <w:r>
        <w:t xml:space="preserve">: process missense / indel VCF variants from</w:t>
      </w:r>
      <w:r>
        <w:t xml:space="preserve"> </w:t>
      </w:r>
      <w:hyperlink r:id="rId42">
        <w:r>
          <w:rPr>
            <w:rStyle w:val="Hyperlink"/>
          </w:rPr>
          <w:t xml:space="preserve">SnpEff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garnish_jaffa</w:t>
      </w:r>
      <w:r>
        <w:t xml:space="preserve">: process gene fusions from</w:t>
      </w:r>
      <w:r>
        <w:t xml:space="preserve"> </w:t>
      </w:r>
      <w:hyperlink r:id="rId43">
        <w:r>
          <w:rPr>
            <w:rStyle w:val="Hyperlink"/>
          </w:rPr>
          <w:t xml:space="preserve">JAFFA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garnish_predictions</w:t>
      </w:r>
      <w:r>
        <w:t xml:space="preserve">: perform ensemble neoepitope prediction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garnish_summary</w:t>
      </w:r>
      <w:r>
        <w:t xml:space="preserve">: summarize and rank results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garnish_plot</w:t>
      </w:r>
      <w:r>
        <w:t xml:space="preserve">: generate summary plots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list_mhc</w:t>
      </w:r>
      <w:r>
        <w:t xml:space="preserve">: list all supported MHC allele syntax</w:t>
      </w:r>
    </w:p>
    <w:p>
      <w:pPr>
        <w:pStyle w:val="Heading3"/>
      </w:pPr>
      <w:bookmarkStart w:id="44" w:name="vignette"/>
      <w:hyperlink r:id="rId40">
        <w:r>
          <w:rPr>
            <w:rStyle w:val="Hyperlink"/>
          </w:rPr>
          <w:t xml:space="preserve">Vignette</w:t>
        </w:r>
      </w:hyperlink>
      <w:bookmarkEnd w:id="44"/>
    </w:p>
    <w:p>
      <w:pPr>
        <w:pStyle w:val="Heading3"/>
      </w:pPr>
      <w:bookmarkStart w:id="45" w:name="examples"/>
      <w:r>
        <w:t xml:space="preserve">Examples</w:t>
      </w:r>
      <w:bookmarkEnd w:id="45"/>
    </w:p>
    <w:p>
      <w:pPr>
        <w:pStyle w:val="Heading4"/>
      </w:pPr>
      <w:bookmarkStart w:id="46" w:name="predict-neoepitopes-from-missense-mutations-insertions-and-deletions"/>
      <w:r>
        <w:t xml:space="preserve">Predict neoepitopes from missense mutations, insertions, and deletions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(antigen.garnish)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download an example VCF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"antigen.garnish_example.vcf"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%T&gt;%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"http://get.rech.io/antigen.garnish_example.vcf"</w:t>
      </w:r>
      <w:r>
        <w:rPr>
          <w:rStyle w:val="NormalTok"/>
        </w:rPr>
        <w:t xml:space="preserve">, .)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extract variants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garnish_variants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space separated MHC types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see list_mhc() for nomenclature of supported alleles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murine and human alleles into separate rows, even if same sample_id.</w:t>
      </w:r>
      <w:r>
        <w:br w:type="textWrapping"/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.[, MHC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"HLA-A*02:01 HLA-DRB1*14:67"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"H-2-Kb H-2-IAd"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"HLA-A*01:47 HLA-DRB1*03:08"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predict neoepitopes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garnish_predictions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summarize predictions</w:t>
      </w:r>
      <w:r>
        <w:br w:type="textWrapping"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garnish_summary </w:t>
      </w:r>
      <w:r>
        <w:rPr>
          <w:rStyle w:val="OperatorTok"/>
        </w:rPr>
        <w:t xml:space="preserve">%T&gt;%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print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summary graphs</w:t>
      </w:r>
      <w:r>
        <w:br w:type="textWrapping"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garnish_plot</w:t>
      </w:r>
    </w:p>
    <w:p>
      <w:pPr>
        <w:pStyle w:val="Heading4"/>
      </w:pPr>
      <w:bookmarkStart w:id="47" w:name="predict-neoepitopes-from-gene-fusions"/>
      <w:r>
        <w:t xml:space="preserve">Predict neoepitopes from gene fusions</w:t>
      </w:r>
      <w:bookmarkEnd w:id="4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(antigen.garnish)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example jaffa output</w:t>
      </w:r>
      <w:r>
        <w:br w:type="textWrapping"/>
      </w:r>
      <w:r>
        <w:rPr>
          <w:rStyle w:val="NormalTok"/>
        </w:rPr>
        <w:t xml:space="preserve">    path &lt;-</w:t>
      </w:r>
      <w:r>
        <w:rPr>
          <w:rStyle w:val="StringTok"/>
        </w:rPr>
        <w:t xml:space="preserve"> "antigen.garnish_jaffa_results.csv"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%T&gt;%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"http://get.rech.io/antigen.garnish_jaffa_results.csv"</w:t>
      </w:r>
      <w:r>
        <w:rPr>
          <w:rStyle w:val="NormalTok"/>
        </w:rPr>
        <w:t xml:space="preserve">, .)</w:t>
      </w:r>
      <w:r>
        <w:br w:type="textWrapping"/>
      </w:r>
      <w:r>
        <w:rPr>
          <w:rStyle w:val="NormalTok"/>
        </w:rPr>
        <w:t xml:space="preserve">    fasta_path &lt;-</w:t>
      </w:r>
      <w:r>
        <w:rPr>
          <w:rStyle w:val="StringTok"/>
        </w:rPr>
        <w:t xml:space="preserve"> "antigen.garnish_jaffa_results.fasta"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%T&gt;%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"http://get.rech.io/antigen.garnish_jaffa_results.fasta"</w:t>
      </w:r>
      <w:r>
        <w:rPr>
          <w:rStyle w:val="NormalTok"/>
        </w:rPr>
        <w:t xml:space="preserve">, .)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predictions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garnish_jaffa</w:t>
      </w:r>
      <w:r>
        <w:rPr>
          <w:rStyle w:val="NormalTok"/>
        </w:rPr>
        <w:t xml:space="preserve">(path, </w:t>
      </w:r>
      <w:r>
        <w:rPr>
          <w:rStyle w:val="DataTypeTok"/>
        </w:rPr>
        <w:t xml:space="preserve">db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"GRCm38"</w:t>
      </w:r>
      <w:r>
        <w:rPr>
          <w:rStyle w:val="NormalTok"/>
        </w:rPr>
        <w:t xml:space="preserve">, fasta_path)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MHC info with list_mhc() compatible names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.[, MHC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"H-2-Kb"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predictions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garnish_predictions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summarize predictions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garnish_summary </w:t>
      </w:r>
      <w:r>
        <w:rPr>
          <w:rStyle w:val="OperatorTok"/>
        </w:rPr>
        <w:t xml:space="preserve">%T&gt;%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print</w:t>
      </w:r>
    </w:p>
    <w:p>
      <w:pPr>
        <w:pStyle w:val="Heading3"/>
      </w:pPr>
      <w:bookmarkStart w:id="48" w:name="tests"/>
      <w:r>
        <w:t xml:space="preserve">Tests</w:t>
      </w:r>
      <w:bookmarkEnd w:id="48"/>
    </w:p>
    <w:p>
      <w:pPr>
        <w:pStyle w:val="Heading4"/>
      </w:pPr>
      <w:bookmarkStart w:id="49" w:name="automated-testing"/>
      <w:r>
        <w:t xml:space="preserve">Automated testing</w:t>
      </w:r>
      <w:bookmarkEnd w:id="49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(testthat)</w:t>
      </w:r>
      <w:r>
        <w:br w:type="textWrapping"/>
      </w:r>
      <w:r>
        <w:rPr>
          <w:rStyle w:val="NormalTok"/>
        </w:rPr>
        <w:t xml:space="preserve">  testthat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test_package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"antigen.garnish"</w:t>
      </w:r>
      <w:r>
        <w:rPr>
          <w:rStyle w:val="NormalTok"/>
        </w:rPr>
        <w:t xml:space="preserve">)</w:t>
      </w:r>
    </w:p>
    <w:p>
      <w:pPr>
        <w:pStyle w:val="Heading4"/>
      </w:pPr>
      <w:bookmarkStart w:id="50" w:name="how-are-peptides-generated"/>
      <w:r>
        <w:t xml:space="preserve">How are peptides generated?</w:t>
      </w:r>
      <w:bookmarkEnd w:id="50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a fake peptide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pep_base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"Y___*___THIS_IS_________*___A_CODE_TEST!______*__X"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mutant_index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pep_type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var_uuid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"front_truncate"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"back_truncate"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nmers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make_nmers </w:t>
      </w:r>
      <w:r>
        <w:rPr>
          <w:rStyle w:val="OperatorTok"/>
        </w:rPr>
        <w:t xml:space="preserve">%T&gt;%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print</w:t>
      </w:r>
    </w:p>
    <w:p>
      <w:pPr>
        <w:pStyle w:val="Heading2"/>
      </w:pPr>
      <w:bookmarkStart w:id="51" w:name="bugs"/>
      <w:r>
        <w:t xml:space="preserve">Bugs</w:t>
      </w:r>
      <w:bookmarkEnd w:id="51"/>
    </w:p>
    <w:p>
      <w:pPr>
        <w:pStyle w:val="Heading2"/>
      </w:pPr>
      <w:bookmarkStart w:id="52" w:name="authors"/>
      <w:r>
        <w:t xml:space="preserve">Authors</w:t>
      </w:r>
      <w:bookmarkEnd w:id="52"/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Lee P. Richman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David Balli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Robert H. Vonderheide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Andrew J. Rech</w:t>
        </w:r>
      </w:hyperlink>
    </w:p>
    <w:p>
      <w:pPr>
        <w:pStyle w:val="Heading2"/>
      </w:pPr>
      <w:bookmarkStart w:id="57" w:name="citation"/>
      <w:r>
        <w:t xml:space="preserve">Citation</w:t>
      </w:r>
      <w:bookmarkEnd w:id="57"/>
    </w:p>
    <w:p>
      <w:pPr>
        <w:pStyle w:val="FirstParagraph"/>
      </w:pPr>
      <w:r>
        <w:t xml:space="preserve">Rech AJ, Balli D, Stanger BZ, Vonderheide RH. Tumor immunity and survival as a function of alternative neoepitopes in human cancer. Cancer Immunology Research, 2018 Jan 16. pii: canimm.0559.2017. PMID:</w:t>
      </w:r>
      <w:r>
        <w:t xml:space="preserve"> </w:t>
      </w:r>
      <w:hyperlink r:id="rId58">
        <w:r>
          <w:rPr>
            <w:rStyle w:val="Hyperlink"/>
          </w:rPr>
          <w:t xml:space="preserve">29339376</w:t>
        </w:r>
      </w:hyperlink>
    </w:p>
    <w:p>
      <w:pPr>
        <w:pStyle w:val="Heading2"/>
      </w:pPr>
      <w:bookmarkStart w:id="59" w:name="contributing"/>
      <w:r>
        <w:t xml:space="preserve">Contributing</w:t>
      </w:r>
      <w:bookmarkEnd w:id="59"/>
    </w:p>
    <w:p>
      <w:pPr>
        <w:pStyle w:val="FirstParagraph"/>
      </w:pPr>
      <w:r>
        <w:t xml:space="preserve">We welcome contributions and feedback via Github or</w:t>
      </w:r>
      <w:r>
        <w:t xml:space="preserve"> </w:t>
      </w:r>
      <w:hyperlink r:id="rId60">
        <w:r>
          <w:rPr>
            <w:rStyle w:val="Hyperlink"/>
          </w:rPr>
          <w:t xml:space="preserve">email</w:t>
        </w:r>
      </w:hyperlink>
      <w:r>
        <w:t xml:space="preserve">.</w:t>
      </w:r>
    </w:p>
    <w:p>
      <w:pPr>
        <w:pStyle w:val="Heading2"/>
      </w:pPr>
      <w:bookmarkStart w:id="61" w:name="license"/>
      <w:r>
        <w:t xml:space="preserve">License</w:t>
      </w:r>
      <w:bookmarkEnd w:id="61"/>
    </w:p>
    <w:p>
      <w:pPr>
        <w:pStyle w:val="FirstParagraph"/>
      </w:pPr>
      <w:r>
        <w:t xml:space="preserve">GNU General Public License v3.0</w:t>
      </w:r>
    </w:p>
    <w:sectPr w:rsidR="002F556E" w:rsidRPr="00B32400" w:rsidSect="00D40CC4">
      <w:footerReference w:type="even" r:id="rId11"/>
      <w:footerReference w:type="default" r:id="rId9"/>
      <w:footerReference w:type="first" r:id="rId10"/>
      <w:pgSz w:w="12240" w:h="15840" w:code="1"/>
      <w:pgMar w:top="1080" w:right="1080" w:bottom="1080" w:left="1080" w:header="720" w:footer="144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ource Code Pro">
    <w:panose1 w:val="020B0509030403020204"/>
    <w:charset w:val="00"/>
    <w:family w:val="auto"/>
    <w:pitch w:val="fixed"/>
    <w:sig w:usb0="20000007" w:usb1="000018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7D616" w14:textId="77777777" w:rsidR="00D40CC4" w:rsidRDefault="00D40CC4" w:rsidP="001416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E6A1BE" w14:textId="77777777" w:rsidR="00D40CC4" w:rsidRDefault="00D40CC4" w:rsidP="00D40C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DF3BE" w14:textId="77777777" w:rsidR="00D40CC4" w:rsidRDefault="00D40CC4" w:rsidP="001416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0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743F51" w14:textId="77777777" w:rsidR="00D40CC4" w:rsidRDefault="00D40CC4" w:rsidP="00D40CC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96928" w14:textId="77777777" w:rsidR="001C2903" w:rsidRDefault="001C2903" w:rsidP="00290016">
    <w:r>
      <w:fldChar w:fldCharType="begin"/>
    </w:r>
    <w:r>
      <w:instrText xml:space="preserve"> PAGE   \* MERGEFORMAT </w:instrText>
    </w:r>
    <w:r>
      <w:fldChar w:fldCharType="separate"/>
    </w:r>
    <w:r w:rsidR="00D40CC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08CD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44ACD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9B66B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74E28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EB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428CE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F84FD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04ABF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70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92A5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82F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Double spaced"/>
    <w:qFormat/>
    <w:rsid w:val="00AF2297"/>
    <w:pPr>
      <w:spacing w:line="480" w:lineRule="auto"/>
      <w:contextualSpacing/>
    </w:pPr>
    <w:rPr>
      <w:rFonts w:ascii="Helvetica" w:hAnsi="Helvetica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E13CA"/>
    <w:pPr>
      <w:spacing w:after="480" w:line="480" w:lineRule="auto"/>
      <w:contextualSpacing/>
      <w:jc w:val="center"/>
      <w:outlineLvl w:val="0"/>
    </w:pPr>
    <w:rPr>
      <w:rFonts w:ascii="Helvetica" w:hAnsi="Helvetica"/>
      <w:b/>
      <w:bCs/>
      <w:color w:val="000000" w:themeColor="text1"/>
      <w:sz w:val="28"/>
      <w:szCs w:val="48"/>
    </w:rPr>
  </w:style>
  <w:style w:type="paragraph" w:styleId="Heading2">
    <w:name w:val="heading 2"/>
    <w:next w:val="Singlespaced"/>
    <w:link w:val="Heading2Char"/>
    <w:autoRedefine/>
    <w:uiPriority w:val="9"/>
    <w:unhideWhenUsed/>
    <w:qFormat/>
    <w:rsid w:val="0098206F"/>
    <w:pPr>
      <w:keepNext/>
      <w:keepLines/>
      <w:spacing w:before="240" w:after="240" w:line="360" w:lineRule="auto"/>
      <w:contextualSpacing/>
      <w:outlineLvl w:val="1"/>
    </w:pPr>
    <w:rPr>
      <w:rFonts w:ascii="Helvetica" w:eastAsia="Times New Roman" w:hAnsi="Helvetica"/>
      <w:b/>
      <w:bCs/>
      <w:color w:val="000000" w:themeColor="text1"/>
      <w:sz w:val="22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0761C6"/>
    <w:pPr>
      <w:keepNext/>
      <w:spacing w:before="240" w:after="240" w:line="360" w:lineRule="auto"/>
      <w:contextualSpacing/>
      <w:outlineLvl w:val="2"/>
    </w:pPr>
    <w:rPr>
      <w:rFonts w:ascii="Helvetica" w:eastAsia="Times New Roman" w:hAnsi="Helvetica"/>
      <w:b/>
      <w:bCs/>
      <w:sz w:val="22"/>
      <w:szCs w:val="26"/>
    </w:rPr>
  </w:style>
  <w:style w:type="paragraph" w:styleId="Heading4">
    <w:name w:val="heading 4"/>
    <w:basedOn w:val="Heading3"/>
    <w:next w:val="Singlespaced"/>
    <w:link w:val="Heading4Char"/>
    <w:uiPriority w:val="9"/>
    <w:unhideWhenUsed/>
    <w:rsid w:val="006C2594"/>
    <w:pPr>
      <w:outlineLvl w:val="3"/>
    </w:pPr>
    <w:rPr>
      <w:szCs w:val="28"/>
    </w:rPr>
  </w:style>
  <w:style w:type="paragraph" w:styleId="Heading5">
    <w:name w:val="heading 5"/>
    <w:basedOn w:val="Heading3"/>
    <w:next w:val="Singlespaced"/>
    <w:link w:val="Heading5Char"/>
    <w:uiPriority w:val="9"/>
    <w:unhideWhenUsed/>
    <w:rsid w:val="006C2594"/>
    <w:pPr>
      <w:keepLines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Singlespaced"/>
    <w:next w:val="Singlespaced"/>
    <w:link w:val="Heading6Char"/>
    <w:uiPriority w:val="9"/>
    <w:unhideWhenUsed/>
    <w:qFormat/>
    <w:rsid w:val="00427051"/>
    <w:pPr>
      <w:keepNext/>
      <w:keepLines/>
      <w:adjustRightInd w:val="0"/>
      <w:jc w:val="right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24B0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13CA"/>
    <w:rPr>
      <w:rFonts w:ascii="Helvetica" w:hAnsi="Helvetica"/>
      <w:b/>
      <w:bCs/>
      <w:color w:val="000000" w:themeColor="text1"/>
      <w:sz w:val="28"/>
      <w:szCs w:val="48"/>
    </w:rPr>
  </w:style>
  <w:style w:type="character" w:customStyle="1" w:styleId="Heading2Char">
    <w:name w:val="Heading 2 Char"/>
    <w:link w:val="Heading2"/>
    <w:uiPriority w:val="9"/>
    <w:rsid w:val="0098206F"/>
    <w:rPr>
      <w:rFonts w:ascii="Helvetica" w:eastAsia="Times New Roman" w:hAnsi="Helvetica"/>
      <w:b/>
      <w:bCs/>
      <w:color w:val="000000" w:themeColor="text1"/>
      <w:sz w:val="22"/>
      <w:szCs w:val="26"/>
    </w:rPr>
  </w:style>
  <w:style w:type="character" w:customStyle="1" w:styleId="Heading3Char">
    <w:name w:val="Heading 3 Char"/>
    <w:link w:val="Heading3"/>
    <w:uiPriority w:val="9"/>
    <w:rsid w:val="000761C6"/>
    <w:rPr>
      <w:rFonts w:ascii="Helvetica" w:eastAsia="Times New Roman" w:hAnsi="Helvetica"/>
      <w:b/>
      <w:bCs/>
      <w:sz w:val="22"/>
      <w:szCs w:val="26"/>
    </w:rPr>
  </w:style>
  <w:style w:type="character" w:customStyle="1" w:styleId="Heading4Char">
    <w:name w:val="Heading 4 Char"/>
    <w:link w:val="Heading4"/>
    <w:uiPriority w:val="9"/>
    <w:rsid w:val="006C2594"/>
    <w:rPr>
      <w:rFonts w:ascii="Helvetica" w:eastAsia="Times New Roman" w:hAnsi="Helvetica"/>
      <w:b/>
      <w:bCs/>
      <w:sz w:val="22"/>
      <w:szCs w:val="28"/>
    </w:rPr>
  </w:style>
  <w:style w:type="paragraph" w:customStyle="1" w:styleId="Singlespaced">
    <w:name w:val="Single spaced"/>
    <w:basedOn w:val="Normal"/>
    <w:qFormat/>
    <w:rsid w:val="007144CA"/>
    <w:pPr>
      <w:spacing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27051"/>
    <w:rPr>
      <w:rFonts w:ascii="Helvetica" w:eastAsiaTheme="majorEastAsia" w:hAnsi="Helvetica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C2594"/>
    <w:rPr>
      <w:rFonts w:ascii="Helvetica" w:eastAsiaTheme="majorEastAsia" w:hAnsi="Helvetica" w:cstheme="majorBidi"/>
      <w:b/>
      <w:bCs/>
      <w:color w:val="000000" w:themeColor="text1"/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22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229"/>
    <w:rPr>
      <w:rFonts w:ascii="Helvetica" w:hAnsi="Helvetic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43F6"/>
    <w:pPr>
      <w:spacing w:line="240" w:lineRule="auto"/>
    </w:pPr>
    <w:rPr>
      <w:rFonts w:ascii="Source Code Pro" w:hAnsi="Source Code Pr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43F6"/>
    <w:rPr>
      <w:rFonts w:ascii="Source Code Pro" w:hAnsi="Source Code Pro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448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CB5974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rsid w:val="00D85EC4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E31BA"/>
    <w:rPr>
      <w:sz w:val="18"/>
      <w:szCs w:val="18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337539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337539"/>
    <w:rPr>
      <w:rFonts w:ascii="Minion Pro" w:hAnsi="Minion Pro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40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4292E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292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14F2B"/>
  </w:style>
  <w:style w:type="table" w:styleId="PlainTable3">
    <w:name w:val="Plain Table 3"/>
    <w:basedOn w:val="TableNormal"/>
    <w:uiPriority w:val="43"/>
    <w:rsid w:val="00844F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71"/>
    <w:rsid w:val="00CA5CD8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Minion Pro" w:hAnsi="Minion Pro"/>
    </w:rPr>
  </w:style>
  <w:style w:type="paragraph" w:customStyle="1" w:styleId="References">
    <w:name w:val="References"/>
    <w:basedOn w:val="Singlespaced"/>
    <w:next w:val="Normal"/>
    <w:autoRedefine/>
    <w:qFormat/>
    <w:rsid w:val="001B2072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400" w:hanging="400"/>
    </w:pPr>
    <w:rPr>
      <w:rFonts w:cs="Minion Pro"/>
    </w:rPr>
  </w:style>
  <w:style w:type="paragraph" w:customStyle="1" w:styleId="Table">
    <w:name w:val="Table"/>
    <w:next w:val="Singlespaced"/>
    <w:autoRedefine/>
    <w:qFormat/>
    <w:rsid w:val="00F41D17"/>
    <w:pPr>
      <w:framePr w:hSpace="187" w:vSpace="187" w:wrap="around" w:vAnchor="text" w:hAnchor="text" w:y="1"/>
      <w:tabs>
        <w:tab w:val="right" w:leader="dot" w:pos="8630"/>
      </w:tabs>
      <w:contextualSpacing/>
    </w:pPr>
    <w:rPr>
      <w:rFonts w:ascii="Helvetica" w:hAnsi="Helvetica"/>
      <w:noProof/>
      <w:sz w:val="20"/>
    </w:rPr>
  </w:style>
  <w:style w:type="table" w:customStyle="1" w:styleId="PlainTable31">
    <w:name w:val="Plain Table 31"/>
    <w:basedOn w:val="TableNormal"/>
    <w:uiPriority w:val="43"/>
    <w:rsid w:val="00382A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F50541"/>
    <w:rPr>
      <w:rFonts w:ascii="Helvetica" w:hAnsi="Helvetica"/>
      <w:b/>
      <w:bCs/>
      <w:smallCaps/>
      <w:color w:val="000000" w:themeColor="text1"/>
      <w:spacing w:val="5"/>
    </w:rPr>
  </w:style>
  <w:style w:type="character" w:styleId="SubtleReference">
    <w:name w:val="Subtle Reference"/>
    <w:basedOn w:val="DefaultParagraphFont"/>
    <w:uiPriority w:val="31"/>
    <w:qFormat/>
    <w:rsid w:val="008A24B0"/>
    <w:rPr>
      <w:rFonts w:ascii="Helvetica" w:hAnsi="Helvetica"/>
      <w:smallCaps/>
      <w:color w:val="5A5A5A" w:themeColor="text1" w:themeTint="A5"/>
    </w:rPr>
  </w:style>
  <w:style w:type="character" w:customStyle="1" w:styleId="Heading7Char">
    <w:name w:val="Heading 7 Char"/>
    <w:basedOn w:val="DefaultParagraphFont"/>
    <w:link w:val="Heading7"/>
    <w:uiPriority w:val="9"/>
    <w:rsid w:val="008A24B0"/>
    <w:rPr>
      <w:rFonts w:ascii="Helvetica" w:eastAsiaTheme="majorEastAsia" w:hAnsi="Helvetica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01F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7E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101F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7E"/>
    <w:rPr>
      <w:rFonts w:ascii="Helvetica" w:hAnsi="Helvetica"/>
    </w:rPr>
  </w:style>
  <w:style w:type="paragraph" w:styleId="MessageHeader">
    <w:name w:val="Message Header"/>
    <w:basedOn w:val="PlainText"/>
    <w:next w:val="Normal"/>
    <w:link w:val="MessageHeaderChar"/>
    <w:uiPriority w:val="99"/>
    <w:semiHidden/>
    <w:unhideWhenUsed/>
    <w:rsid w:val="00D85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paragraph" w:customStyle="1" w:styleId="Singleindent">
    <w:name w:val="Single indent"/>
    <w:basedOn w:val="Singlespaced"/>
    <w:qFormat/>
    <w:rsid w:val="007144CA"/>
    <w:pPr>
      <w:ind w:firstLine="72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85EC4"/>
    <w:rPr>
      <w:rFonts w:asciiTheme="majorHAnsi" w:eastAsiaTheme="majorEastAsia" w:hAnsiTheme="majorHAnsi" w:cstheme="majorBidi"/>
      <w:szCs w:val="21"/>
      <w:shd w:val="pct20" w:color="auto" w:fill="auto"/>
    </w:rPr>
  </w:style>
  <w:style w:type="character" w:styleId="Mention">
    <w:name w:val="Mention"/>
    <w:basedOn w:val="PlainTextChar"/>
    <w:uiPriority w:val="99"/>
    <w:semiHidden/>
    <w:unhideWhenUsed/>
    <w:rsid w:val="00D85EC4"/>
    <w:rPr>
      <w:rFonts w:ascii="Source Code Pro" w:hAnsi="Source Code Pro"/>
      <w:color w:val="2B579A"/>
      <w:sz w:val="21"/>
      <w:szCs w:val="21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rsid w:val="00F24FC1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F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68"/>
    <w:rsid w:val="00DE43F6"/>
    <w:pPr>
      <w:contextualSpacing/>
    </w:pPr>
    <w:rPr>
      <w:rFonts w:ascii="Helvetica" w:hAnsi="Helvetica"/>
      <w:sz w:val="22"/>
    </w:rPr>
  </w:style>
  <w:style w:type="paragraph" w:customStyle="1" w:styleId="Doubleindent">
    <w:name w:val="Double indent"/>
    <w:basedOn w:val="Normal"/>
    <w:qFormat/>
    <w:rsid w:val="00B7553D"/>
    <w:pPr>
      <w:ind w:firstLine="72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footer" Target="footer1.xml" /><Relationship Type="http://schemas.openxmlformats.org/officeDocument/2006/relationships/image" Id="rId20" Target="media/rId20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24" Target="media/rId24.svg" /><Relationship Type="http://schemas.openxmlformats.org/officeDocument/2006/relationships/hyperlink" Id="rId21" Target="http://18.194.224.158:8080/job/antigen.garnish/lastBuild/consoleFull" TargetMode="External" /><Relationship Type="http://schemas.openxmlformats.org/officeDocument/2006/relationships/hyperlink" Id="rId29" Target="http://antigen-garnish-presentation.s3-website-us-east-1.amazonaws.com" TargetMode="External" /><Relationship Type="http://schemas.openxmlformats.org/officeDocument/2006/relationships/hyperlink" Id="rId40" Target="http://get.rech.io/antigen.garnish.pdf" TargetMode="External" /><Relationship Type="http://schemas.openxmlformats.org/officeDocument/2006/relationships/hyperlink" Id="rId56" Target="http://rech.io" TargetMode="External" /><Relationship Type="http://schemas.openxmlformats.org/officeDocument/2006/relationships/hyperlink" Id="rId28" Target="http://science.sciencemag.org/content/348/6230/69" TargetMode="External" /><Relationship Type="http://schemas.openxmlformats.org/officeDocument/2006/relationships/hyperlink" Id="rId42" Target="http://snpeff.sourceforge.net/" TargetMode="External" /><Relationship Type="http://schemas.openxmlformats.org/officeDocument/2006/relationships/hyperlink" Id="rId33" Target="http://www.cbs.dtu.dk/services/NetMHC/" TargetMode="External" /><Relationship Type="http://schemas.openxmlformats.org/officeDocument/2006/relationships/hyperlink" Id="rId34" Target="http://www.cbs.dtu.dk/services/NetMHCII/" TargetMode="External" /><Relationship Type="http://schemas.openxmlformats.org/officeDocument/2006/relationships/hyperlink" Id="rId36" Target="http://www.cbs.dtu.dk/services/NetMHCIIpan/i" TargetMode="External" /><Relationship Type="http://schemas.openxmlformats.org/officeDocument/2006/relationships/hyperlink" Id="rId35" Target="http://www.cbs.dtu.dk/services/NetMHCpan/" TargetMode="External" /><Relationship Type="http://schemas.openxmlformats.org/officeDocument/2006/relationships/hyperlink" Id="rId53" Target="http://www.med.upenn.edu/apps/faculty/index.php/g275/p1073" TargetMode="External" /><Relationship Type="http://schemas.openxmlformats.org/officeDocument/2006/relationships/hyperlink" Id="rId23" Target="https://codecov.io/github/andrewrech/antigen.garnish?branch=master" TargetMode="External" /><Relationship Type="http://schemas.openxmlformats.org/officeDocument/2006/relationships/hyperlink" Id="rId32" Target="https://github.com/KarchinLab/mhcnuggets" TargetMode="External" /><Relationship Type="http://schemas.openxmlformats.org/officeDocument/2006/relationships/hyperlink" Id="rId43" Target="https://github.com/Oshlack/JAFFA" TargetMode="External" /><Relationship Type="http://schemas.openxmlformats.org/officeDocument/2006/relationships/hyperlink" Id="rId31" Target="https://github.com/hammerlab/mhcflurry" TargetMode="External" /><Relationship Type="http://schemas.openxmlformats.org/officeDocument/2006/relationships/hyperlink" Id="rId54" Target="https://www.linkedin.com/in/davidballi1" TargetMode="External" /><Relationship Type="http://schemas.openxmlformats.org/officeDocument/2006/relationships/hyperlink" Id="rId55" Target="https://www.med.upenn.edu/apps/faculty/index.php/g20000320/p1073" TargetMode="External" /><Relationship Type="http://schemas.openxmlformats.org/officeDocument/2006/relationships/hyperlink" Id="rId58" Target="https://www.ncbi.nlm.nih.gov/pubmed/29339376" TargetMode="External" /><Relationship Type="http://schemas.openxmlformats.org/officeDocument/2006/relationships/hyperlink" Id="rId60" Target="mailto:andrewr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18.194.224.158:8080/job/antigen.garnish/lastBuild/consoleFull" TargetMode="External" /><Relationship Type="http://schemas.openxmlformats.org/officeDocument/2006/relationships/hyperlink" Id="rId29" Target="http://antigen-garnish-presentation.s3-website-us-east-1.amazonaws.com" TargetMode="External" /><Relationship Type="http://schemas.openxmlformats.org/officeDocument/2006/relationships/hyperlink" Id="rId40" Target="http://get.rech.io/antigen.garnish.pdf" TargetMode="External" /><Relationship Type="http://schemas.openxmlformats.org/officeDocument/2006/relationships/hyperlink" Id="rId56" Target="http://rech.io" TargetMode="External" /><Relationship Type="http://schemas.openxmlformats.org/officeDocument/2006/relationships/hyperlink" Id="rId28" Target="http://science.sciencemag.org/content/348/6230/69" TargetMode="External" /><Relationship Type="http://schemas.openxmlformats.org/officeDocument/2006/relationships/hyperlink" Id="rId42" Target="http://snpeff.sourceforge.net/" TargetMode="External" /><Relationship Type="http://schemas.openxmlformats.org/officeDocument/2006/relationships/hyperlink" Id="rId33" Target="http://www.cbs.dtu.dk/services/NetMHC/" TargetMode="External" /><Relationship Type="http://schemas.openxmlformats.org/officeDocument/2006/relationships/hyperlink" Id="rId34" Target="http://www.cbs.dtu.dk/services/NetMHCII/" TargetMode="External" /><Relationship Type="http://schemas.openxmlformats.org/officeDocument/2006/relationships/hyperlink" Id="rId36" Target="http://www.cbs.dtu.dk/services/NetMHCIIpan/i" TargetMode="External" /><Relationship Type="http://schemas.openxmlformats.org/officeDocument/2006/relationships/hyperlink" Id="rId35" Target="http://www.cbs.dtu.dk/services/NetMHCpan/" TargetMode="External" /><Relationship Type="http://schemas.openxmlformats.org/officeDocument/2006/relationships/hyperlink" Id="rId53" Target="http://www.med.upenn.edu/apps/faculty/index.php/g275/p1073" TargetMode="External" /><Relationship Type="http://schemas.openxmlformats.org/officeDocument/2006/relationships/hyperlink" Id="rId23" Target="https://codecov.io/github/andrewrech/antigen.garnish?branch=master" TargetMode="External" /><Relationship Type="http://schemas.openxmlformats.org/officeDocument/2006/relationships/hyperlink" Id="rId32" Target="https://github.com/KarchinLab/mhcnuggets" TargetMode="External" /><Relationship Type="http://schemas.openxmlformats.org/officeDocument/2006/relationships/hyperlink" Id="rId43" Target="https://github.com/Oshlack/JAFFA" TargetMode="External" /><Relationship Type="http://schemas.openxmlformats.org/officeDocument/2006/relationships/hyperlink" Id="rId31" Target="https://github.com/hammerlab/mhcflurry" TargetMode="External" /><Relationship Type="http://schemas.openxmlformats.org/officeDocument/2006/relationships/hyperlink" Id="rId54" Target="https://www.linkedin.com/in/davidballi1" TargetMode="External" /><Relationship Type="http://schemas.openxmlformats.org/officeDocument/2006/relationships/hyperlink" Id="rId55" Target="https://www.med.upenn.edu/apps/faculty/index.php/g20000320/p1073" TargetMode="External" /><Relationship Type="http://schemas.openxmlformats.org/officeDocument/2006/relationships/hyperlink" Id="rId58" Target="https://www.ncbi.nlm.nih.gov/pubmed/29339376" TargetMode="External" /><Relationship Type="http://schemas.openxmlformats.org/officeDocument/2006/relationships/hyperlink" Id="rId60" Target="mailto:andrewrech@gmail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rech/Dropbox/Mackup/Re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Rech_template.dotx</Template>
  <TotalTime>76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Pennsylania</Company>
  <LinksUpToDate>false</LinksUpToDate>
  <CharactersWithSpaces>4</CharactersWithSpaces>
  <SharedDoc>false</SharedDoc>
  <HLinks>
    <vt:vector size="90" baseType="variant">
      <vt:variant>
        <vt:i4>1245184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_Toc464480068</vt:lpwstr>
      </vt:variant>
      <vt:variant>
        <vt:i4>1245199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_Toc464480067</vt:lpwstr>
      </vt:variant>
      <vt:variant>
        <vt:i4>1245198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_Toc464480066</vt:lpwstr>
      </vt:variant>
      <vt:variant>
        <vt:i4>1245197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_Toc464480065</vt:lpwstr>
      </vt:variant>
      <vt:variant>
        <vt:i4>1245196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_Toc464480064</vt:lpwstr>
      </vt:variant>
      <vt:variant>
        <vt:i4>1245195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_Toc464480063</vt:lpwstr>
      </vt:variant>
      <vt:variant>
        <vt:i4>1245194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_Toc464480062</vt:lpwstr>
      </vt:variant>
      <vt:variant>
        <vt:i4>1245193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_Toc464480061</vt:lpwstr>
      </vt:variant>
      <vt:variant>
        <vt:i4>1245192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_Toc464480060</vt:lpwstr>
      </vt:variant>
      <vt:variant>
        <vt:i4>1048577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_Toc464480059</vt:lpwstr>
      </vt:variant>
      <vt:variant>
        <vt:i4>1048576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_Toc464480058</vt:lpwstr>
      </vt:variant>
      <vt:variant>
        <vt:i4>1048591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_Toc464480057</vt:lpwstr>
      </vt:variant>
      <vt:variant>
        <vt:i4>1048590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_Toc464480056</vt:lpwstr>
      </vt:variant>
      <vt:variant>
        <vt:i4>1048589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_Toc464480055</vt:lpwstr>
      </vt:variant>
      <vt:variant>
        <vt:i4>1048588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_Toc464480054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2018-04-09T19:45:28Z</dcterms:created>
  <dcterms:modified xsi:type="dcterms:W3CDTF">2018-04-09T19:45:28Z</dcterms:modified>
</cp:coreProperties>
</file>