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w:t>
      </w:r>
    </w:p>
    <w:p>
      <w:pPr>
        <w:pStyle w:val="Heading2"/>
      </w:pPr>
      <w:r>
        <w:t>Results &amp; Evaluation</w:t>
      </w:r>
    </w:p>
    <w:p>
      <w:pPr>
        <w:jc w:val="both"/>
      </w:pPr>
      <w:r>
        <w:t>This chapter presents a comprehensive evaluation of the University Advisor System's outcomes across all four components: Front-End, Back-End, AI, and Dashboard. It assesses the degree to which the implemented system meets the original goals and requirements defined in Chapter 2, analyzes performance data collected during testing, and identifies areas of strength alongside opportunities for future improvement.</w:t>
      </w:r>
    </w:p>
    <w:p>
      <w:pPr>
        <w:pStyle w:val="Heading2"/>
      </w:pPr>
      <w:r>
        <w:t>6.1 Front-End Section</w:t>
      </w:r>
    </w:p>
    <w:p>
      <w:pPr>
        <w:jc w:val="both"/>
      </w:pPr>
      <w:r>
        <w:t>The front-end evaluation assessed the user interface across four dimensions: usability and visual consistency, functional accuracy, performance, and role-based behavior. Results confirm that the front-end successfully delivers a modern, accessible, and role-aware user experience.</w:t>
      </w:r>
    </w:p>
    <w:p>
      <w:pPr>
        <w:pStyle w:val="Heading3"/>
      </w:pPr>
      <w:r>
        <w:t>6.1.1 Usability and Interface Consistency</w:t>
      </w:r>
    </w:p>
    <w:p>
      <w:pPr>
        <w:jc w:val="both"/>
      </w:pPr>
      <w:r>
        <w:t>The user interface was evaluated against established usability heuristics (Nielsen's 10 Usability Heuristics) and the design specifications from Chapter 3. The evaluation confirmed strong compliance with the key principles of visibility of system status, user control and freedom, consistency and standards, and aesthetic and minimalist design.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Usability Criterion</w:t>
            </w:r>
          </w:p>
        </w:tc>
        <w:tc>
          <w:tcPr>
            <w:tcW w:type="dxa" w:w="2160"/>
          </w:tcPr>
          <w:p>
            <w:r>
              <w:rPr>
                <w:b/>
              </w:rPr>
              <w:t>Evaluation Method</w:t>
            </w:r>
          </w:p>
        </w:tc>
        <w:tc>
          <w:tcPr>
            <w:tcW w:type="dxa" w:w="2160"/>
          </w:tcPr>
          <w:p>
            <w:r>
              <w:rPr>
                <w:b/>
              </w:rPr>
              <w:t>Result</w:t>
            </w:r>
          </w:p>
        </w:tc>
        <w:tc>
          <w:tcPr>
            <w:tcW w:type="dxa" w:w="2160"/>
          </w:tcPr>
          <w:p>
            <w:r>
              <w:rPr>
                <w:b/>
              </w:rPr>
              <w:t>Score (1–5)</w:t>
            </w:r>
          </w:p>
        </w:tc>
      </w:tr>
      <w:tr>
        <w:tc>
          <w:tcPr>
            <w:tcW w:type="dxa" w:w="2160"/>
          </w:tcPr>
          <w:p>
            <w:r>
              <w:t>Visual Consistency</w:t>
            </w:r>
          </w:p>
        </w:tc>
        <w:tc>
          <w:tcPr>
            <w:tcW w:type="dxa" w:w="2160"/>
          </w:tcPr>
          <w:p>
            <w:r>
              <w:t>Cross-page inspection of typography, color palette, and component style</w:t>
            </w:r>
          </w:p>
        </w:tc>
        <w:tc>
          <w:tcPr>
            <w:tcW w:type="dxa" w:w="2160"/>
          </w:tcPr>
          <w:p>
            <w:r>
              <w:t>Tailwind config enforces unified design tokens across all pages</w:t>
            </w:r>
          </w:p>
        </w:tc>
        <w:tc>
          <w:tcPr>
            <w:tcW w:type="dxa" w:w="2160"/>
          </w:tcPr>
          <w:p>
            <w:r>
              <w:t>5 / 5</w:t>
            </w:r>
          </w:p>
        </w:tc>
      </w:tr>
      <w:tr>
        <w:tc>
          <w:tcPr>
            <w:tcW w:type="dxa" w:w="2160"/>
          </w:tcPr>
          <w:p>
            <w:r>
              <w:t>Navigation Clarity</w:t>
            </w:r>
          </w:p>
        </w:tc>
        <w:tc>
          <w:tcPr>
            <w:tcW w:type="dxa" w:w="2160"/>
          </w:tcPr>
          <w:p>
            <w:r>
              <w:t>User walkthrough with 5 test participants</w:t>
            </w:r>
          </w:p>
        </w:tc>
        <w:tc>
          <w:tcPr>
            <w:tcW w:type="dxa" w:w="2160"/>
          </w:tcPr>
          <w:p>
            <w:r>
              <w:t>All participants located key features within 30 seconds</w:t>
            </w:r>
          </w:p>
        </w:tc>
        <w:tc>
          <w:tcPr>
            <w:tcW w:type="dxa" w:w="2160"/>
          </w:tcPr>
          <w:p>
            <w:r>
              <w:t>5 / 5</w:t>
            </w:r>
          </w:p>
        </w:tc>
      </w:tr>
      <w:tr>
        <w:tc>
          <w:tcPr>
            <w:tcW w:type="dxa" w:w="2160"/>
          </w:tcPr>
          <w:p>
            <w:r>
              <w:t>Mobile Responsiveness</w:t>
            </w:r>
          </w:p>
        </w:tc>
        <w:tc>
          <w:tcPr>
            <w:tcW w:type="dxa" w:w="2160"/>
          </w:tcPr>
          <w:p>
            <w:r>
              <w:t>Tested on 375px, 768px, 1024px, and 1440px viewports</w:t>
            </w:r>
          </w:p>
        </w:tc>
        <w:tc>
          <w:tcPr>
            <w:tcW w:type="dxa" w:w="2160"/>
          </w:tcPr>
          <w:p>
            <w:r>
              <w:t>All layouts adapted correctly; no overflow or broken elements</w:t>
            </w:r>
          </w:p>
        </w:tc>
        <w:tc>
          <w:tcPr>
            <w:tcW w:type="dxa" w:w="2160"/>
          </w:tcPr>
          <w:p>
            <w:r>
              <w:t>5 / 5</w:t>
            </w:r>
          </w:p>
        </w:tc>
      </w:tr>
      <w:tr>
        <w:tc>
          <w:tcPr>
            <w:tcW w:type="dxa" w:w="2160"/>
          </w:tcPr>
          <w:p>
            <w:r>
              <w:t>Form Usability</w:t>
            </w:r>
          </w:p>
        </w:tc>
        <w:tc>
          <w:tcPr>
            <w:tcW w:type="dxa" w:w="2160"/>
          </w:tcPr>
          <w:p>
            <w:r>
              <w:t>Error injection testing on all forms</w:t>
            </w:r>
          </w:p>
        </w:tc>
        <w:tc>
          <w:tcPr>
            <w:tcW w:type="dxa" w:w="2160"/>
          </w:tcPr>
          <w:p>
            <w:r>
              <w:t>Inline validation messages clearly indicated all errors</w:t>
            </w:r>
          </w:p>
        </w:tc>
        <w:tc>
          <w:tcPr>
            <w:tcW w:type="dxa" w:w="2160"/>
          </w:tcPr>
          <w:p>
            <w:r>
              <w:t>4 / 5</w:t>
            </w:r>
          </w:p>
        </w:tc>
      </w:tr>
      <w:tr>
        <w:tc>
          <w:tcPr>
            <w:tcW w:type="dxa" w:w="2160"/>
          </w:tcPr>
          <w:p>
            <w:r>
              <w:t>Accessibility</w:t>
            </w:r>
          </w:p>
        </w:tc>
        <w:tc>
          <w:tcPr>
            <w:tcW w:type="dxa" w:w="2160"/>
          </w:tcPr>
          <w:p>
            <w:r>
              <w:t>Semantic HTML audit and contrast ratio check</w:t>
            </w:r>
          </w:p>
        </w:tc>
        <w:tc>
          <w:tcPr>
            <w:tcW w:type="dxa" w:w="2160"/>
          </w:tcPr>
          <w:p>
            <w:r>
              <w:t>All text meets WCAG AA contrast ratio (≥ 4.5:1); semantic elements used throughout</w:t>
            </w:r>
          </w:p>
        </w:tc>
        <w:tc>
          <w:tcPr>
            <w:tcW w:type="dxa" w:w="2160"/>
          </w:tcPr>
          <w:p>
            <w:r>
              <w:t>4 / 5</w:t>
            </w:r>
          </w:p>
        </w:tc>
      </w:tr>
      <w:tr>
        <w:tc>
          <w:tcPr>
            <w:tcW w:type="dxa" w:w="2160"/>
          </w:tcPr>
          <w:p>
            <w:r>
              <w:t>Learnability</w:t>
            </w:r>
          </w:p>
        </w:tc>
        <w:tc>
          <w:tcPr>
            <w:tcW w:type="dxa" w:w="2160"/>
          </w:tcPr>
          <w:p>
            <w:r>
              <w:t>First-time user observation session</w:t>
            </w:r>
          </w:p>
        </w:tc>
        <w:tc>
          <w:tcPr>
            <w:tcW w:type="dxa" w:w="2160"/>
          </w:tcPr>
          <w:p>
            <w:r>
              <w:t>New users completed core tasks (registration, journal browse, test) without guidance</w:t>
            </w:r>
          </w:p>
        </w:tc>
        <w:tc>
          <w:tcPr>
            <w:tcW w:type="dxa" w:w="2160"/>
          </w:tcPr>
          <w:p>
            <w:r>
              <w:t>5 / 5</w:t>
            </w:r>
          </w:p>
        </w:tc>
      </w:tr>
    </w:tbl>
    <w:p/>
    <w:p>
      <w:pPr>
        <w:jc w:val="both"/>
      </w:pPr>
      <w:r>
        <w:t>Overall, the front-end achieved an average usability score of 4.67/5, reflecting a highly polished and consistent interface. The minor deduction in form usability relates to the absence of contextual help text on some advanced submission fields, which is noted as a future enhancement.</w:t>
      </w:r>
    </w:p>
    <w:p>
      <w:pPr>
        <w:pStyle w:val="Heading3"/>
      </w:pPr>
      <w:r>
        <w:t>6.1.2 Functional Accuracy</w:t>
      </w:r>
    </w:p>
    <w:p>
      <w:pPr>
        <w:jc w:val="both"/>
      </w:pPr>
      <w:r>
        <w:t>Functional accuracy was measured by the ratio of passing test cases to total test cases executed during Chapter 5 testing. All 16 front-end functional and role-based test cases passed, yielding a 100% functional accuracy rate.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Feature Category</w:t>
            </w:r>
          </w:p>
        </w:tc>
        <w:tc>
          <w:tcPr>
            <w:tcW w:type="dxa" w:w="1728"/>
          </w:tcPr>
          <w:p>
            <w:r>
              <w:rPr>
                <w:b/>
              </w:rPr>
              <w:t>Test Cases Run</w:t>
            </w:r>
          </w:p>
        </w:tc>
        <w:tc>
          <w:tcPr>
            <w:tcW w:type="dxa" w:w="1728"/>
          </w:tcPr>
          <w:p>
            <w:r>
              <w:rPr>
                <w:b/>
              </w:rPr>
              <w:t>Passed</w:t>
            </w:r>
          </w:p>
        </w:tc>
        <w:tc>
          <w:tcPr>
            <w:tcW w:type="dxa" w:w="1728"/>
          </w:tcPr>
          <w:p>
            <w:r>
              <w:rPr>
                <w:b/>
              </w:rPr>
              <w:t>Failed</w:t>
            </w:r>
          </w:p>
        </w:tc>
        <w:tc>
          <w:tcPr>
            <w:tcW w:type="dxa" w:w="1728"/>
          </w:tcPr>
          <w:p>
            <w:r>
              <w:rPr>
                <w:b/>
              </w:rPr>
              <w:t>Accuracy</w:t>
            </w:r>
          </w:p>
        </w:tc>
      </w:tr>
      <w:tr>
        <w:tc>
          <w:tcPr>
            <w:tcW w:type="dxa" w:w="1728"/>
          </w:tcPr>
          <w:p>
            <w:r>
              <w:t>Page Rendering &amp; Navigation</w:t>
            </w:r>
          </w:p>
        </w:tc>
        <w:tc>
          <w:tcPr>
            <w:tcW w:type="dxa" w:w="1728"/>
          </w:tcPr>
          <w:p>
            <w:r>
              <w:t>4</w:t>
            </w:r>
          </w:p>
        </w:tc>
        <w:tc>
          <w:tcPr>
            <w:tcW w:type="dxa" w:w="1728"/>
          </w:tcPr>
          <w:p>
            <w:r>
              <w:t>4</w:t>
            </w:r>
          </w:p>
        </w:tc>
        <w:tc>
          <w:tcPr>
            <w:tcW w:type="dxa" w:w="1728"/>
          </w:tcPr>
          <w:p>
            <w:r>
              <w:t>0</w:t>
            </w:r>
          </w:p>
        </w:tc>
        <w:tc>
          <w:tcPr>
            <w:tcW w:type="dxa" w:w="1728"/>
          </w:tcPr>
          <w:p>
            <w:r>
              <w:t>100%</w:t>
            </w:r>
          </w:p>
        </w:tc>
      </w:tr>
      <w:tr>
        <w:tc>
          <w:tcPr>
            <w:tcW w:type="dxa" w:w="1728"/>
          </w:tcPr>
          <w:p>
            <w:r>
              <w:t>Form Submission &amp; Validation</w:t>
            </w:r>
          </w:p>
        </w:tc>
        <w:tc>
          <w:tcPr>
            <w:tcW w:type="dxa" w:w="1728"/>
          </w:tcPr>
          <w:p>
            <w:r>
              <w:t>3</w:t>
            </w:r>
          </w:p>
        </w:tc>
        <w:tc>
          <w:tcPr>
            <w:tcW w:type="dxa" w:w="1728"/>
          </w:tcPr>
          <w:p>
            <w:r>
              <w:t>3</w:t>
            </w:r>
          </w:p>
        </w:tc>
        <w:tc>
          <w:tcPr>
            <w:tcW w:type="dxa" w:w="1728"/>
          </w:tcPr>
          <w:p>
            <w:r>
              <w:t>0</w:t>
            </w:r>
          </w:p>
        </w:tc>
        <w:tc>
          <w:tcPr>
            <w:tcW w:type="dxa" w:w="1728"/>
          </w:tcPr>
          <w:p>
            <w:r>
              <w:t>100%</w:t>
            </w:r>
          </w:p>
        </w:tc>
      </w:tr>
      <w:tr>
        <w:tc>
          <w:tcPr>
            <w:tcW w:type="dxa" w:w="1728"/>
          </w:tcPr>
          <w:p>
            <w:r>
              <w:t>AI Classification Interface</w:t>
            </w:r>
          </w:p>
        </w:tc>
        <w:tc>
          <w:tcPr>
            <w:tcW w:type="dxa" w:w="1728"/>
          </w:tcPr>
          <w:p>
            <w:r>
              <w:t>2</w:t>
            </w:r>
          </w:p>
        </w:tc>
        <w:tc>
          <w:tcPr>
            <w:tcW w:type="dxa" w:w="1728"/>
          </w:tcPr>
          <w:p>
            <w:r>
              <w:t>2</w:t>
            </w:r>
          </w:p>
        </w:tc>
        <w:tc>
          <w:tcPr>
            <w:tcW w:type="dxa" w:w="1728"/>
          </w:tcPr>
          <w:p>
            <w:r>
              <w:t>0</w:t>
            </w:r>
          </w:p>
        </w:tc>
        <w:tc>
          <w:tcPr>
            <w:tcW w:type="dxa" w:w="1728"/>
          </w:tcPr>
          <w:p>
            <w:r>
              <w:t>100%</w:t>
            </w:r>
          </w:p>
        </w:tc>
      </w:tr>
      <w:tr>
        <w:tc>
          <w:tcPr>
            <w:tcW w:type="dxa" w:w="1728"/>
          </w:tcPr>
          <w:p>
            <w:r>
              <w:t>Role-Based Access Control</w:t>
            </w:r>
          </w:p>
        </w:tc>
        <w:tc>
          <w:tcPr>
            <w:tcW w:type="dxa" w:w="1728"/>
          </w:tcPr>
          <w:p>
            <w:r>
              <w:t>6</w:t>
            </w:r>
          </w:p>
        </w:tc>
        <w:tc>
          <w:tcPr>
            <w:tcW w:type="dxa" w:w="1728"/>
          </w:tcPr>
          <w:p>
            <w:r>
              <w:t>6</w:t>
            </w:r>
          </w:p>
        </w:tc>
        <w:tc>
          <w:tcPr>
            <w:tcW w:type="dxa" w:w="1728"/>
          </w:tcPr>
          <w:p>
            <w:r>
              <w:t>0</w:t>
            </w:r>
          </w:p>
        </w:tc>
        <w:tc>
          <w:tcPr>
            <w:tcW w:type="dxa" w:w="1728"/>
          </w:tcPr>
          <w:p>
            <w:r>
              <w:t>100%</w:t>
            </w:r>
          </w:p>
        </w:tc>
      </w:tr>
      <w:tr>
        <w:tc>
          <w:tcPr>
            <w:tcW w:type="dxa" w:w="1728"/>
          </w:tcPr>
          <w:p>
            <w:r>
              <w:t>Responsive Design</w:t>
            </w:r>
          </w:p>
        </w:tc>
        <w:tc>
          <w:tcPr>
            <w:tcW w:type="dxa" w:w="1728"/>
          </w:tcPr>
          <w:p>
            <w:r>
              <w:t>1</w:t>
            </w:r>
          </w:p>
        </w:tc>
        <w:tc>
          <w:tcPr>
            <w:tcW w:type="dxa" w:w="1728"/>
          </w:tcPr>
          <w:p>
            <w:r>
              <w:t>1</w:t>
            </w:r>
          </w:p>
        </w:tc>
        <w:tc>
          <w:tcPr>
            <w:tcW w:type="dxa" w:w="1728"/>
          </w:tcPr>
          <w:p>
            <w:r>
              <w:t>0</w:t>
            </w:r>
          </w:p>
        </w:tc>
        <w:tc>
          <w:tcPr>
            <w:tcW w:type="dxa" w:w="1728"/>
          </w:tcPr>
          <w:p>
            <w:r>
              <w:t>100%</w:t>
            </w:r>
          </w:p>
        </w:tc>
      </w:tr>
      <w:tr>
        <w:tc>
          <w:tcPr>
            <w:tcW w:type="dxa" w:w="1728"/>
          </w:tcPr>
          <w:p>
            <w:r>
              <w:t>TOTAL</w:t>
            </w:r>
          </w:p>
        </w:tc>
        <w:tc>
          <w:tcPr>
            <w:tcW w:type="dxa" w:w="1728"/>
          </w:tcPr>
          <w:p>
            <w:r>
              <w:t>16</w:t>
            </w:r>
          </w:p>
        </w:tc>
        <w:tc>
          <w:tcPr>
            <w:tcW w:type="dxa" w:w="1728"/>
          </w:tcPr>
          <w:p>
            <w:r>
              <w:t>16</w:t>
            </w:r>
          </w:p>
        </w:tc>
        <w:tc>
          <w:tcPr>
            <w:tcW w:type="dxa" w:w="1728"/>
          </w:tcPr>
          <w:p>
            <w:r>
              <w:t>0</w:t>
            </w:r>
          </w:p>
        </w:tc>
        <w:tc>
          <w:tcPr>
            <w:tcW w:type="dxa" w:w="1728"/>
          </w:tcPr>
          <w:p>
            <w:r>
              <w:t>100%</w:t>
            </w:r>
          </w:p>
        </w:tc>
      </w:tr>
    </w:tbl>
    <w:p/>
    <w:p>
      <w:pPr>
        <w:pStyle w:val="Heading3"/>
      </w:pPr>
      <w:r>
        <w:t>6.1.3 Performance Evaluation</w:t>
      </w:r>
    </w:p>
    <w:p>
      <w:pPr>
        <w:jc w:val="both"/>
      </w:pPr>
      <w:r>
        <w:t>Front-end performance was measured using browser developer tools (Lighthouse audit) on key pages in a production-like environment. The metrics below represent averages across the homepage, journal listing, and article detail pages.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Achieved</w:t>
            </w:r>
          </w:p>
        </w:tc>
        <w:tc>
          <w:tcPr>
            <w:tcW w:type="dxa" w:w="2160"/>
          </w:tcPr>
          <w:p>
            <w:r>
              <w:rPr>
                <w:b/>
              </w:rPr>
              <w:t>Status</w:t>
            </w:r>
          </w:p>
        </w:tc>
      </w:tr>
      <w:tr>
        <w:tc>
          <w:tcPr>
            <w:tcW w:type="dxa" w:w="2160"/>
          </w:tcPr>
          <w:p>
            <w:r>
              <w:t>First Contentful Paint (FCP)</w:t>
            </w:r>
          </w:p>
        </w:tc>
        <w:tc>
          <w:tcPr>
            <w:tcW w:type="dxa" w:w="2160"/>
          </w:tcPr>
          <w:p>
            <w:r>
              <w:t>&lt; 1.8s</w:t>
            </w:r>
          </w:p>
        </w:tc>
        <w:tc>
          <w:tcPr>
            <w:tcW w:type="dxa" w:w="2160"/>
          </w:tcPr>
          <w:p>
            <w:r>
              <w:t>1.2s</w:t>
            </w:r>
          </w:p>
        </w:tc>
        <w:tc>
          <w:tcPr>
            <w:tcW w:type="dxa" w:w="2160"/>
          </w:tcPr>
          <w:p>
            <w:r>
              <w:t>✅ Exceeds Target</w:t>
            </w:r>
          </w:p>
        </w:tc>
      </w:tr>
      <w:tr>
        <w:tc>
          <w:tcPr>
            <w:tcW w:type="dxa" w:w="2160"/>
          </w:tcPr>
          <w:p>
            <w:r>
              <w:t>Largest Contentful Paint (LCP)</w:t>
            </w:r>
          </w:p>
        </w:tc>
        <w:tc>
          <w:tcPr>
            <w:tcW w:type="dxa" w:w="2160"/>
          </w:tcPr>
          <w:p>
            <w:r>
              <w:t>&lt; 2.5s</w:t>
            </w:r>
          </w:p>
        </w:tc>
        <w:tc>
          <w:tcPr>
            <w:tcW w:type="dxa" w:w="2160"/>
          </w:tcPr>
          <w:p>
            <w:r>
              <w:t>2.1s</w:t>
            </w:r>
          </w:p>
        </w:tc>
        <w:tc>
          <w:tcPr>
            <w:tcW w:type="dxa" w:w="2160"/>
          </w:tcPr>
          <w:p>
            <w:r>
              <w:t>✅ Exceeds Target</w:t>
            </w:r>
          </w:p>
        </w:tc>
      </w:tr>
      <w:tr>
        <w:tc>
          <w:tcPr>
            <w:tcW w:type="dxa" w:w="2160"/>
          </w:tcPr>
          <w:p>
            <w:r>
              <w:t>Total Blocking Time (TBT)</w:t>
            </w:r>
          </w:p>
        </w:tc>
        <w:tc>
          <w:tcPr>
            <w:tcW w:type="dxa" w:w="2160"/>
          </w:tcPr>
          <w:p>
            <w:r>
              <w:t>&lt; 200ms</w:t>
            </w:r>
          </w:p>
        </w:tc>
        <w:tc>
          <w:tcPr>
            <w:tcW w:type="dxa" w:w="2160"/>
          </w:tcPr>
          <w:p>
            <w:r>
              <w:t>85ms</w:t>
            </w:r>
          </w:p>
        </w:tc>
        <w:tc>
          <w:tcPr>
            <w:tcW w:type="dxa" w:w="2160"/>
          </w:tcPr>
          <w:p>
            <w:r>
              <w:t>✅ Exceeds Target</w:t>
            </w:r>
          </w:p>
        </w:tc>
      </w:tr>
      <w:tr>
        <w:tc>
          <w:tcPr>
            <w:tcW w:type="dxa" w:w="2160"/>
          </w:tcPr>
          <w:p>
            <w:r>
              <w:t>Cumulative Layout Shift (CLS)</w:t>
            </w:r>
          </w:p>
        </w:tc>
        <w:tc>
          <w:tcPr>
            <w:tcW w:type="dxa" w:w="2160"/>
          </w:tcPr>
          <w:p>
            <w:r>
              <w:t>&lt; 0.1</w:t>
            </w:r>
          </w:p>
        </w:tc>
        <w:tc>
          <w:tcPr>
            <w:tcW w:type="dxa" w:w="2160"/>
          </w:tcPr>
          <w:p>
            <w:r>
              <w:t>0.03</w:t>
            </w:r>
          </w:p>
        </w:tc>
        <w:tc>
          <w:tcPr>
            <w:tcW w:type="dxa" w:w="2160"/>
          </w:tcPr>
          <w:p>
            <w:r>
              <w:t>✅ Exceeds Target</w:t>
            </w:r>
          </w:p>
        </w:tc>
      </w:tr>
      <w:tr>
        <w:tc>
          <w:tcPr>
            <w:tcW w:type="dxa" w:w="2160"/>
          </w:tcPr>
          <w:p>
            <w:r>
              <w:t>Lighthouse Performance Score</w:t>
            </w:r>
          </w:p>
        </w:tc>
        <w:tc>
          <w:tcPr>
            <w:tcW w:type="dxa" w:w="2160"/>
          </w:tcPr>
          <w:p>
            <w:r>
              <w:t>≥ 85</w:t>
            </w:r>
          </w:p>
        </w:tc>
        <w:tc>
          <w:tcPr>
            <w:tcW w:type="dxa" w:w="2160"/>
          </w:tcPr>
          <w:p>
            <w:r>
              <w:t>91</w:t>
            </w:r>
          </w:p>
        </w:tc>
        <w:tc>
          <w:tcPr>
            <w:tcW w:type="dxa" w:w="2160"/>
          </w:tcPr>
          <w:p>
            <w:r>
              <w:t>✅ Exceeds Target</w:t>
            </w:r>
          </w:p>
        </w:tc>
      </w:tr>
      <w:tr>
        <w:tc>
          <w:tcPr>
            <w:tcW w:type="dxa" w:w="2160"/>
          </w:tcPr>
          <w:p>
            <w:r>
              <w:t>Lighthouse Accessibility Score</w:t>
            </w:r>
          </w:p>
        </w:tc>
        <w:tc>
          <w:tcPr>
            <w:tcW w:type="dxa" w:w="2160"/>
          </w:tcPr>
          <w:p>
            <w:r>
              <w:t>≥ 90</w:t>
            </w:r>
          </w:p>
        </w:tc>
        <w:tc>
          <w:tcPr>
            <w:tcW w:type="dxa" w:w="2160"/>
          </w:tcPr>
          <w:p>
            <w:r>
              <w:t>94</w:t>
            </w:r>
          </w:p>
        </w:tc>
        <w:tc>
          <w:tcPr>
            <w:tcW w:type="dxa" w:w="2160"/>
          </w:tcPr>
          <w:p>
            <w:r>
              <w:t>✅ Exceeds Target</w:t>
            </w:r>
          </w:p>
        </w:tc>
      </w:tr>
    </w:tbl>
    <w:p/>
    <w:p>
      <w:pPr>
        <w:jc w:val="both"/>
      </w:pPr>
      <w:r>
        <w:t>The production CSS bundle size was significantly reduced by Tailwind's PurgeCSS integration, which removed all unused utility classes. The final CSS bundle weighed 18 KB (gzipped), compared to ~140 KB for a full Bootstrap bundle, contributing directly to the strong page load performance.</w:t>
      </w:r>
    </w:p>
    <w:p>
      <w:pPr>
        <w:pStyle w:val="Heading3"/>
      </w:pPr>
      <w:r>
        <w:t>6.1.4 Role-Based Behavior Evaluation</w:t>
      </w:r>
    </w:p>
    <w:p>
      <w:pPr>
        <w:jc w:val="both"/>
      </w:pPr>
      <w:r>
        <w:t>The role-based access control system was evaluated by testing all four user roles across all protected routes and features. The evaluation confirmed that the RBAC implementation is both comprehensive and airtight — no unauthorized access was achieved in any test scenario, and all legitimate role-based access worked as expected without requiring additional user action.</w:t>
      </w:r>
    </w:p>
    <w:p>
      <w:pPr>
        <w:jc w:val="both"/>
      </w:pPr>
      <w:r>
        <w:t>A particularly successful outcome was the dynamic navigation rendering: the server-side role check in Django templates ensured that users never saw navigation links to pages they were unauthorized to access, eliminating any confusion or accidental access attempts. This approach proved more robust than client-side-only hiding, which can be bypassed by technically knowledgeable users.</w:t>
      </w:r>
    </w:p>
    <w:p>
      <w:pPr>
        <w:pStyle w:val="Heading2"/>
      </w:pPr>
      <w:r>
        <w:t>6.2 Back-End Section</w:t>
      </w:r>
    </w:p>
    <w:p>
      <w:pPr>
        <w:jc w:val="both"/>
      </w:pPr>
      <w:r>
        <w:t>The back-end evaluation assessed the system's reliability, environment compatibility, and the degree to which the implementation fulfilled the original technical requirements.</w:t>
      </w:r>
    </w:p>
    <w:p>
      <w:pPr>
        <w:pStyle w:val="Heading3"/>
      </w:pPr>
      <w:r>
        <w:t>6.2.2 Testing and Environment Compatibility</w:t>
      </w:r>
    </w:p>
    <w:p>
      <w:pPr>
        <w:jc w:val="both"/>
      </w:pPr>
      <w:r>
        <w:t>The back-end was tested across multiple environment configurations to ensure compatibility and portability. All 10 automated Django unit tests passed in every tested environment.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Environment</w:t>
            </w:r>
          </w:p>
        </w:tc>
        <w:tc>
          <w:tcPr>
            <w:tcW w:type="dxa" w:w="1440"/>
          </w:tcPr>
          <w:p>
            <w:r>
              <w:rPr>
                <w:b/>
              </w:rPr>
              <w:t>OS</w:t>
            </w:r>
          </w:p>
        </w:tc>
        <w:tc>
          <w:tcPr>
            <w:tcW w:type="dxa" w:w="1440"/>
          </w:tcPr>
          <w:p>
            <w:r>
              <w:rPr>
                <w:b/>
              </w:rPr>
              <w:t>Python Version</w:t>
            </w:r>
          </w:p>
        </w:tc>
        <w:tc>
          <w:tcPr>
            <w:tcW w:type="dxa" w:w="1440"/>
          </w:tcPr>
          <w:p>
            <w:r>
              <w:rPr>
                <w:b/>
              </w:rPr>
              <w:t>Django Version</w:t>
            </w:r>
          </w:p>
        </w:tc>
        <w:tc>
          <w:tcPr>
            <w:tcW w:type="dxa" w:w="1440"/>
          </w:tcPr>
          <w:p>
            <w:r>
              <w:rPr>
                <w:b/>
              </w:rPr>
              <w:t>DB</w:t>
            </w:r>
          </w:p>
        </w:tc>
        <w:tc>
          <w:tcPr>
            <w:tcW w:type="dxa" w:w="1440"/>
          </w:tcPr>
          <w:p>
            <w:r>
              <w:rPr>
                <w:b/>
              </w:rPr>
              <w:t>Result</w:t>
            </w:r>
          </w:p>
        </w:tc>
      </w:tr>
      <w:tr>
        <w:tc>
          <w:tcPr>
            <w:tcW w:type="dxa" w:w="1440"/>
          </w:tcPr>
          <w:p>
            <w:r>
              <w:t>Development</w:t>
            </w:r>
          </w:p>
        </w:tc>
        <w:tc>
          <w:tcPr>
            <w:tcW w:type="dxa" w:w="1440"/>
          </w:tcPr>
          <w:p>
            <w:r>
              <w:t>Windows 11</w:t>
            </w:r>
          </w:p>
        </w:tc>
        <w:tc>
          <w:tcPr>
            <w:tcW w:type="dxa" w:w="1440"/>
          </w:tcPr>
          <w:p>
            <w:r>
              <w:t>3.11</w:t>
            </w:r>
          </w:p>
        </w:tc>
        <w:tc>
          <w:tcPr>
            <w:tcW w:type="dxa" w:w="1440"/>
          </w:tcPr>
          <w:p>
            <w:r>
              <w:t>4.2 LTS</w:t>
            </w:r>
          </w:p>
        </w:tc>
        <w:tc>
          <w:tcPr>
            <w:tcW w:type="dxa" w:w="1440"/>
          </w:tcPr>
          <w:p>
            <w:r>
              <w:t>PostgreSQL 15</w:t>
            </w:r>
          </w:p>
        </w:tc>
        <w:tc>
          <w:tcPr>
            <w:tcW w:type="dxa" w:w="1440"/>
          </w:tcPr>
          <w:p>
            <w:r>
              <w:t>✅ All Tests Pass</w:t>
            </w:r>
          </w:p>
        </w:tc>
      </w:tr>
      <w:tr>
        <w:tc>
          <w:tcPr>
            <w:tcW w:type="dxa" w:w="1440"/>
          </w:tcPr>
          <w:p>
            <w:r>
              <w:t>Staging (Simulated)</w:t>
            </w:r>
          </w:p>
        </w:tc>
        <w:tc>
          <w:tcPr>
            <w:tcW w:type="dxa" w:w="1440"/>
          </w:tcPr>
          <w:p>
            <w:r>
              <w:t>Ubuntu 22.04 (WSL2)</w:t>
            </w:r>
          </w:p>
        </w:tc>
        <w:tc>
          <w:tcPr>
            <w:tcW w:type="dxa" w:w="1440"/>
          </w:tcPr>
          <w:p>
            <w:r>
              <w:t>3.11</w:t>
            </w:r>
          </w:p>
        </w:tc>
        <w:tc>
          <w:tcPr>
            <w:tcW w:type="dxa" w:w="1440"/>
          </w:tcPr>
          <w:p>
            <w:r>
              <w:t>4.2 LTS</w:t>
            </w:r>
          </w:p>
        </w:tc>
        <w:tc>
          <w:tcPr>
            <w:tcW w:type="dxa" w:w="1440"/>
          </w:tcPr>
          <w:p>
            <w:r>
              <w:t>PostgreSQL 15</w:t>
            </w:r>
          </w:p>
        </w:tc>
        <w:tc>
          <w:tcPr>
            <w:tcW w:type="dxa" w:w="1440"/>
          </w:tcPr>
          <w:p>
            <w:r>
              <w:t>✅ All Tests Pass</w:t>
            </w:r>
          </w:p>
        </w:tc>
      </w:tr>
      <w:tr>
        <w:tc>
          <w:tcPr>
            <w:tcW w:type="dxa" w:w="1440"/>
          </w:tcPr>
          <w:p>
            <w:r>
              <w:t>PyCharm Run Config</w:t>
            </w:r>
          </w:p>
        </w:tc>
        <w:tc>
          <w:tcPr>
            <w:tcW w:type="dxa" w:w="1440"/>
          </w:tcPr>
          <w:p>
            <w:r>
              <w:t>Windows 11</w:t>
            </w:r>
          </w:p>
        </w:tc>
        <w:tc>
          <w:tcPr>
            <w:tcW w:type="dxa" w:w="1440"/>
          </w:tcPr>
          <w:p>
            <w:r>
              <w:t>3.11</w:t>
            </w:r>
          </w:p>
        </w:tc>
        <w:tc>
          <w:tcPr>
            <w:tcW w:type="dxa" w:w="1440"/>
          </w:tcPr>
          <w:p>
            <w:r>
              <w:t>4.2 LTS</w:t>
            </w:r>
          </w:p>
        </w:tc>
        <w:tc>
          <w:tcPr>
            <w:tcW w:type="dxa" w:w="1440"/>
          </w:tcPr>
          <w:p>
            <w:r>
              <w:t>PostgreSQL 15</w:t>
            </w:r>
          </w:p>
        </w:tc>
        <w:tc>
          <w:tcPr>
            <w:tcW w:type="dxa" w:w="1440"/>
          </w:tcPr>
          <w:p>
            <w:r>
              <w:t>✅ All Tests Pass</w:t>
            </w:r>
          </w:p>
        </w:tc>
      </w:tr>
    </w:tbl>
    <w:p/>
    <w:p>
      <w:pPr>
        <w:jc w:val="both"/>
      </w:pPr>
      <w:r>
        <w:t>The use of environment variables for all sensitive configuration (database credentials, secret key, debug flag) ensured that the codebase could be deployed to any environment without modification, satisfying the twelve-factor app methodology for portable, maintainable application configuration.</w:t>
      </w:r>
    </w:p>
    <w:p>
      <w:pPr>
        <w:pStyle w:val="Heading3"/>
      </w:pPr>
      <w:r>
        <w:t>6.2.3 Comparison with Initial Goals</w:t>
      </w:r>
    </w:p>
    <w:p>
      <w:pPr>
        <w:jc w:val="both"/>
      </w:pPr>
      <w:r>
        <w:t>The following table maps each of the back-end requirements defined in Chapter 2 to its implementation outcome, providing a clear measure of requirements fulfillment: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Implementation Approach</w:t>
            </w:r>
          </w:p>
        </w:tc>
        <w:tc>
          <w:tcPr>
            <w:tcW w:type="dxa" w:w="2880"/>
          </w:tcPr>
          <w:p>
            <w:r>
              <w:rPr>
                <w:b/>
              </w:rPr>
              <w:t>Fulfillment Status</w:t>
            </w:r>
          </w:p>
        </w:tc>
      </w:tr>
      <w:tr>
        <w:tc>
          <w:tcPr>
            <w:tcW w:type="dxa" w:w="2880"/>
          </w:tcPr>
          <w:p>
            <w:r>
              <w:t>Secure user authentication</w:t>
            </w:r>
          </w:p>
        </w:tc>
        <w:tc>
          <w:tcPr>
            <w:tcW w:type="dxa" w:w="2880"/>
          </w:tcPr>
          <w:p>
            <w:r>
              <w:t>Django's built-in auth with CSRF, session management, and password hashing</w:t>
            </w:r>
          </w:p>
        </w:tc>
        <w:tc>
          <w:tcPr>
            <w:tcW w:type="dxa" w:w="2880"/>
          </w:tcPr>
          <w:p>
            <w:r>
              <w:t>✅ Fully Met</w:t>
            </w:r>
          </w:p>
        </w:tc>
      </w:tr>
      <w:tr>
        <w:tc>
          <w:tcPr>
            <w:tcW w:type="dxa" w:w="2880"/>
          </w:tcPr>
          <w:p>
            <w:r>
              <w:t>Role-based access control</w:t>
            </w:r>
          </w:p>
        </w:tc>
        <w:tc>
          <w:tcPr>
            <w:tcW w:type="dxa" w:w="2880"/>
          </w:tcPr>
          <w:p>
            <w:r>
              <w:t>Custom User model with role field + @role_required decorators on all protected views</w:t>
            </w:r>
          </w:p>
        </w:tc>
        <w:tc>
          <w:tcPr>
            <w:tcW w:type="dxa" w:w="2880"/>
          </w:tcPr>
          <w:p>
            <w:r>
              <w:t>✅ Fully Met</w:t>
            </w:r>
          </w:p>
        </w:tc>
      </w:tr>
      <w:tr>
        <w:tc>
          <w:tcPr>
            <w:tcW w:type="dxa" w:w="2880"/>
          </w:tcPr>
          <w:p>
            <w:r>
              <w:t>Article submission workflow</w:t>
            </w:r>
          </w:p>
        </w:tc>
        <w:tc>
          <w:tcPr>
            <w:tcW w:type="dxa" w:w="2880"/>
          </w:tcPr>
          <w:p>
            <w:r>
              <w:t>Article model with status field + Django signals for notifications at each stage</w:t>
            </w:r>
          </w:p>
        </w:tc>
        <w:tc>
          <w:tcPr>
            <w:tcW w:type="dxa" w:w="2880"/>
          </w:tcPr>
          <w:p>
            <w:r>
              <w:t>✅ Fully Met</w:t>
            </w:r>
          </w:p>
        </w:tc>
      </w:tr>
      <w:tr>
        <w:tc>
          <w:tcPr>
            <w:tcW w:type="dxa" w:w="2880"/>
          </w:tcPr>
          <w:p>
            <w:r>
              <w:t>Editorial review pipeline</w:t>
            </w:r>
          </w:p>
        </w:tc>
        <w:tc>
          <w:tcPr>
            <w:tcW w:type="dxa" w:w="2880"/>
          </w:tcPr>
          <w:p>
            <w:r>
              <w:t>Review model linked to Article and Editor + status update logic in view layer</w:t>
            </w:r>
          </w:p>
        </w:tc>
        <w:tc>
          <w:tcPr>
            <w:tcW w:type="dxa" w:w="2880"/>
          </w:tcPr>
          <w:p>
            <w:r>
              <w:t>✅ Fully Met</w:t>
            </w:r>
          </w:p>
        </w:tc>
      </w:tr>
      <w:tr>
        <w:tc>
          <w:tcPr>
            <w:tcW w:type="dxa" w:w="2880"/>
          </w:tcPr>
          <w:p>
            <w:r>
              <w:t>PostgreSQL database integration</w:t>
            </w:r>
          </w:p>
        </w:tc>
        <w:tc>
          <w:tcPr>
            <w:tcW w:type="dxa" w:w="2880"/>
          </w:tcPr>
          <w:p>
            <w:r>
              <w:t>psycopg2 adapter + Django ORM + environment variable configuration</w:t>
            </w:r>
          </w:p>
        </w:tc>
        <w:tc>
          <w:tcPr>
            <w:tcW w:type="dxa" w:w="2880"/>
          </w:tcPr>
          <w:p>
            <w:r>
              <w:t>✅ Fully Met</w:t>
            </w:r>
          </w:p>
        </w:tc>
      </w:tr>
      <w:tr>
        <w:tc>
          <w:tcPr>
            <w:tcW w:type="dxa" w:w="2880"/>
          </w:tcPr>
          <w:p>
            <w:r>
              <w:t>RESTful API endpoints</w:t>
            </w:r>
          </w:p>
        </w:tc>
        <w:tc>
          <w:tcPr>
            <w:tcW w:type="dxa" w:w="2880"/>
          </w:tcPr>
          <w:p>
            <w:r>
              <w:t>Django views returning JSON responses for front-end Fetch API consumption</w:t>
            </w:r>
          </w:p>
        </w:tc>
        <w:tc>
          <w:tcPr>
            <w:tcW w:type="dxa" w:w="2880"/>
          </w:tcPr>
          <w:p>
            <w:r>
              <w:t>✅ Fully Met</w:t>
            </w:r>
          </w:p>
        </w:tc>
      </w:tr>
      <w:tr>
        <w:tc>
          <w:tcPr>
            <w:tcW w:type="dxa" w:w="2880"/>
          </w:tcPr>
          <w:p>
            <w:r>
              <w:t>Database schema migrations</w:t>
            </w:r>
          </w:p>
        </w:tc>
        <w:tc>
          <w:tcPr>
            <w:tcW w:type="dxa" w:w="2880"/>
          </w:tcPr>
          <w:p>
            <w:r>
              <w:t>Django migration system used throughout; 12 migration files generated</w:t>
            </w:r>
          </w:p>
        </w:tc>
        <w:tc>
          <w:tcPr>
            <w:tcW w:type="dxa" w:w="2880"/>
          </w:tcPr>
          <w:p>
            <w:r>
              <w:t>✅ Fully Met</w:t>
            </w:r>
          </w:p>
        </w:tc>
      </w:tr>
      <w:tr>
        <w:tc>
          <w:tcPr>
            <w:tcW w:type="dxa" w:w="2880"/>
          </w:tcPr>
          <w:p>
            <w:r>
              <w:t>Admin panel for management</w:t>
            </w:r>
          </w:p>
        </w:tc>
        <w:tc>
          <w:tcPr>
            <w:tcW w:type="dxa" w:w="2880"/>
          </w:tcPr>
          <w:p>
            <w:r>
              <w:t>All models registered in admin.py with custom list_display and filters</w:t>
            </w:r>
          </w:p>
        </w:tc>
        <w:tc>
          <w:tcPr>
            <w:tcW w:type="dxa" w:w="2880"/>
          </w:tcPr>
          <w:p>
            <w:r>
              <w:t>✅ Fully Met</w:t>
            </w:r>
          </w:p>
        </w:tc>
      </w:tr>
    </w:tbl>
    <w:p/>
    <w:p>
      <w:pPr>
        <w:pStyle w:val="Heading3"/>
      </w:pPr>
      <w:r>
        <w:t>6.2.4 Conclusion: Was the Project Successful?</w:t>
      </w:r>
    </w:p>
    <w:p>
      <w:pPr>
        <w:jc w:val="both"/>
      </w:pPr>
      <w:r>
        <w:t>By all measurable criteria, the back-end implementation of the University Advisor System is a success. All eight original requirements were fully met, all automated tests passed, and the system demonstrated stable, consistent behavior across all tested environments. The Django framework proved to be an excellent choice for this project, as its built-in features — the ORM, authentication system, admin panel, and migration framework — dramatically accelerated development while maintaining high security and code quality standards.</w:t>
      </w:r>
    </w:p>
    <w:p>
      <w:pPr>
        <w:jc w:val="both"/>
      </w:pPr>
      <w:r>
        <w:t>The decision to use PostgreSQL over SQLite was validated by the system's ability to handle concurrent read/write operations during multi-user testing without any deadlocks or data integrity issues. The normalized database schema, enforced by Django's ORM and database-level constraints, ensured that no orphaned records or data inconsistencies were observed throughout the entire testing phase.</w:t>
      </w:r>
    </w:p>
    <w:p>
      <w:pPr>
        <w:jc w:val="both"/>
      </w:pPr>
      <w:r>
        <w:t>Areas identified for future enhancement include the addition of a full-text search capability using PostgreSQL's built-in tsvector indexing, the implementation of a caching layer (e.g., Redis) for high-traffic API endpoints, and the development of a dedicated mobile application that consumes the existing RESTful API.</w:t>
      </w:r>
    </w:p>
    <w:p>
      <w:pPr>
        <w:pStyle w:val="Heading2"/>
      </w:pPr>
      <w:r>
        <w:t>6.3 AI Section</w:t>
      </w:r>
    </w:p>
    <w:p>
      <w:pPr>
        <w:jc w:val="both"/>
      </w:pPr>
      <w:r>
        <w:t>The AI section evaluation provides a detailed analysis of the model's training dynamics, qualitative performance characteristics, and a forward-looking summary of potential improvements.</w:t>
      </w:r>
    </w:p>
    <w:p>
      <w:pPr>
        <w:pStyle w:val="Heading3"/>
      </w:pPr>
      <w:r>
        <w:t>6.3.2 Training Dynamics</w:t>
      </w:r>
    </w:p>
    <w:p>
      <w:pPr>
        <w:jc w:val="both"/>
      </w:pPr>
      <w:r>
        <w:t>The two-phase training strategy (head training followed by full fine-tuning) produced clear and well-behaved training dynamics, as evidenced by the loss and accuracy curves recorded during training.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Training Phase</w:t>
            </w:r>
          </w:p>
        </w:tc>
        <w:tc>
          <w:tcPr>
            <w:tcW w:type="dxa" w:w="1440"/>
          </w:tcPr>
          <w:p>
            <w:r>
              <w:rPr>
                <w:b/>
              </w:rPr>
              <w:t>Epochs</w:t>
            </w:r>
          </w:p>
        </w:tc>
        <w:tc>
          <w:tcPr>
            <w:tcW w:type="dxa" w:w="1440"/>
          </w:tcPr>
          <w:p>
            <w:r>
              <w:rPr>
                <w:b/>
              </w:rPr>
              <w:t>Starting Train Acc</w:t>
            </w:r>
          </w:p>
        </w:tc>
        <w:tc>
          <w:tcPr>
            <w:tcW w:type="dxa" w:w="1440"/>
          </w:tcPr>
          <w:p>
            <w:r>
              <w:rPr>
                <w:b/>
              </w:rPr>
              <w:t>Final Train Acc</w:t>
            </w:r>
          </w:p>
        </w:tc>
        <w:tc>
          <w:tcPr>
            <w:tcW w:type="dxa" w:w="1440"/>
          </w:tcPr>
          <w:p>
            <w:r>
              <w:rPr>
                <w:b/>
              </w:rPr>
              <w:t>Final Val Acc</w:t>
            </w:r>
          </w:p>
        </w:tc>
        <w:tc>
          <w:tcPr>
            <w:tcW w:type="dxa" w:w="1440"/>
          </w:tcPr>
          <w:p>
            <w:r>
              <w:rPr>
                <w:b/>
              </w:rPr>
              <w:t>Observation</w:t>
            </w:r>
          </w:p>
        </w:tc>
      </w:tr>
      <w:tr>
        <w:tc>
          <w:tcPr>
            <w:tcW w:type="dxa" w:w="1440"/>
          </w:tcPr>
          <w:p>
            <w:r>
              <w:t>Phase 1: Head Training</w:t>
            </w:r>
          </w:p>
        </w:tc>
        <w:tc>
          <w:tcPr>
            <w:tcW w:type="dxa" w:w="1440"/>
          </w:tcPr>
          <w:p>
            <w:r>
              <w:t>1–10</w:t>
            </w:r>
          </w:p>
        </w:tc>
        <w:tc>
          <w:tcPr>
            <w:tcW w:type="dxa" w:w="1440"/>
          </w:tcPr>
          <w:p>
            <w:r>
              <w:t>38.2%</w:t>
            </w:r>
          </w:p>
        </w:tc>
        <w:tc>
          <w:tcPr>
            <w:tcW w:type="dxa" w:w="1440"/>
          </w:tcPr>
          <w:p>
            <w:r>
              <w:t>74.6%</w:t>
            </w:r>
          </w:p>
        </w:tc>
        <w:tc>
          <w:tcPr>
            <w:tcW w:type="dxa" w:w="1440"/>
          </w:tcPr>
          <w:p>
            <w:r>
              <w:t>73.1%</w:t>
            </w:r>
          </w:p>
        </w:tc>
        <w:tc>
          <w:tcPr>
            <w:tcW w:type="dxa" w:w="1440"/>
          </w:tcPr>
          <w:p>
            <w:r>
              <w:t>Rapid convergence of classification head; backbone features preserved</w:t>
            </w:r>
          </w:p>
        </w:tc>
      </w:tr>
      <w:tr>
        <w:tc>
          <w:tcPr>
            <w:tcW w:type="dxa" w:w="1440"/>
          </w:tcPr>
          <w:p>
            <w:r>
              <w:t>Phase 2: Fine-Tuning (Early)</w:t>
            </w:r>
          </w:p>
        </w:tc>
        <w:tc>
          <w:tcPr>
            <w:tcW w:type="dxa" w:w="1440"/>
          </w:tcPr>
          <w:p>
            <w:r>
              <w:t>11–15</w:t>
            </w:r>
          </w:p>
        </w:tc>
        <w:tc>
          <w:tcPr>
            <w:tcW w:type="dxa" w:w="1440"/>
          </w:tcPr>
          <w:p>
            <w:r>
              <w:t>76.1%</w:t>
            </w:r>
          </w:p>
        </w:tc>
        <w:tc>
          <w:tcPr>
            <w:tcW w:type="dxa" w:w="1440"/>
          </w:tcPr>
          <w:p>
            <w:r>
              <w:t>84.3%</w:t>
            </w:r>
          </w:p>
        </w:tc>
        <w:tc>
          <w:tcPr>
            <w:tcW w:type="dxa" w:w="1440"/>
          </w:tcPr>
          <w:p>
            <w:r>
              <w:t>83.7%</w:t>
            </w:r>
          </w:p>
        </w:tc>
        <w:tc>
          <w:tcPr>
            <w:tcW w:type="dxa" w:w="1440"/>
          </w:tcPr>
          <w:p>
            <w:r>
              <w:t>Steady improvement as backbone adapts to target domain</w:t>
            </w:r>
          </w:p>
        </w:tc>
      </w:tr>
      <w:tr>
        <w:tc>
          <w:tcPr>
            <w:tcW w:type="dxa" w:w="1440"/>
          </w:tcPr>
          <w:p>
            <w:r>
              <w:t>Phase 2: Fine-Tuning (Late)</w:t>
            </w:r>
          </w:p>
        </w:tc>
        <w:tc>
          <w:tcPr>
            <w:tcW w:type="dxa" w:w="1440"/>
          </w:tcPr>
          <w:p>
            <w:r>
              <w:t>16–30</w:t>
            </w:r>
          </w:p>
        </w:tc>
        <w:tc>
          <w:tcPr>
            <w:tcW w:type="dxa" w:w="1440"/>
          </w:tcPr>
          <w:p>
            <w:r>
              <w:t>87.5%</w:t>
            </w:r>
          </w:p>
        </w:tc>
        <w:tc>
          <w:tcPr>
            <w:tcW w:type="dxa" w:w="1440"/>
          </w:tcPr>
          <w:p>
            <w:r>
              <w:t>93.8%</w:t>
            </w:r>
          </w:p>
        </w:tc>
        <w:tc>
          <w:tcPr>
            <w:tcW w:type="dxa" w:w="1440"/>
          </w:tcPr>
          <w:p>
            <w:r>
              <w:t>92.1%</w:t>
            </w:r>
          </w:p>
        </w:tc>
        <w:tc>
          <w:tcPr>
            <w:tcW w:type="dxa" w:w="1440"/>
          </w:tcPr>
          <w:p>
            <w:r>
              <w:t>Convergence with cosine LR decay; best checkpoint at epoch 27</w:t>
            </w:r>
          </w:p>
        </w:tc>
      </w:tr>
    </w:tbl>
    <w:p/>
    <w:p>
      <w:pPr>
        <w:jc w:val="both"/>
      </w:pPr>
      <w:r>
        <w:t>The training loss curve showed consistent, monotonic decrease throughout both phases with no significant spikes, indicating that the learning rate schedules were well-calibrated. The validation accuracy tracked closely with training accuracy, with a final gap of less than 2.4%, confirming that the model generalizes well and is not overfitting.</w:t>
      </w:r>
    </w:p>
    <w:p>
      <w:pPr>
        <w:jc w:val="both"/>
      </w:pPr>
      <w:r>
        <w:t>Data augmentation was a critical factor in achieving this low generalization gap. Ablation experiments conducted without augmentation showed a training-validation gap of over 8%, underscoring the importance of random flips, color jitter, and rotations in building a robust model.</w:t>
      </w:r>
    </w:p>
    <w:p>
      <w:pPr>
        <w:jc w:val="both"/>
      </w:pPr>
      <w:r>
        <w:t>[Figure 6.1: Training and Validation Accuracy Curves – Both Phases]</w:t>
      </w:r>
    </w:p>
    <w:p>
      <w:pPr>
        <w:jc w:val="both"/>
      </w:pPr>
      <w:r>
        <w:t>[Figure 6.2: Training and Validation Loss Curves – Both Phases]</w:t>
      </w:r>
    </w:p>
    <w:p>
      <w:pPr>
        <w:pStyle w:val="Heading3"/>
      </w:pPr>
      <w:r>
        <w:t>6.3.3 Qualitative Evaluation</w:t>
      </w:r>
    </w:p>
    <w:p>
      <w:pPr>
        <w:jc w:val="both"/>
      </w:pPr>
      <w:r>
        <w:t>Beyond numerical metrics, a qualitative evaluation was conducted by presenting the model with a diverse set of real-world images not included in the training or test datasets. The evaluation assessed the model's confidence, robustness to image quality variations, and behavior on ambiguous inputs.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Evaluation Scenario</w:t>
            </w:r>
          </w:p>
        </w:tc>
        <w:tc>
          <w:tcPr>
            <w:tcW w:type="dxa" w:w="2880"/>
          </w:tcPr>
          <w:p>
            <w:r>
              <w:rPr>
                <w:b/>
              </w:rPr>
              <w:t>Model Behavior</w:t>
            </w:r>
          </w:p>
        </w:tc>
        <w:tc>
          <w:tcPr>
            <w:tcW w:type="dxa" w:w="2880"/>
          </w:tcPr>
          <w:p>
            <w:r>
              <w:rPr>
                <w:b/>
              </w:rPr>
              <w:t>Assessment</w:t>
            </w:r>
          </w:p>
        </w:tc>
      </w:tr>
      <w:tr>
        <w:tc>
          <w:tcPr>
            <w:tcW w:type="dxa" w:w="2880"/>
          </w:tcPr>
          <w:p>
            <w:r>
              <w:t>Clear, high-resolution images of target classes</w:t>
            </w:r>
          </w:p>
        </w:tc>
        <w:tc>
          <w:tcPr>
            <w:tcW w:type="dxa" w:w="2880"/>
          </w:tcPr>
          <w:p>
            <w:r>
              <w:t>Correct prediction with confidence &gt; 95% in all cases</w:t>
            </w:r>
          </w:p>
        </w:tc>
        <w:tc>
          <w:tcPr>
            <w:tcW w:type="dxa" w:w="2880"/>
          </w:tcPr>
          <w:p>
            <w:r>
              <w:t>Excellent – strong performance on ideal inputs</w:t>
            </w:r>
          </w:p>
        </w:tc>
      </w:tr>
      <w:tr>
        <w:tc>
          <w:tcPr>
            <w:tcW w:type="dxa" w:w="2880"/>
          </w:tcPr>
          <w:p>
            <w:r>
              <w:t>Images with slight rotation or perspective distortion</w:t>
            </w:r>
          </w:p>
        </w:tc>
        <w:tc>
          <w:tcPr>
            <w:tcW w:type="dxa" w:w="2880"/>
          </w:tcPr>
          <w:p>
            <w:r>
              <w:t>Correct prediction with confidence 85–93%</w:t>
            </w:r>
          </w:p>
        </w:tc>
        <w:tc>
          <w:tcPr>
            <w:tcW w:type="dxa" w:w="2880"/>
          </w:tcPr>
          <w:p>
            <w:r>
              <w:t>Good – augmentation-trained robustness demonstrated</w:t>
            </w:r>
          </w:p>
        </w:tc>
      </w:tr>
      <w:tr>
        <w:tc>
          <w:tcPr>
            <w:tcW w:type="dxa" w:w="2880"/>
          </w:tcPr>
          <w:p>
            <w:r>
              <w:t>Low-resolution or compressed images (&lt; 100px)</w:t>
            </w:r>
          </w:p>
        </w:tc>
        <w:tc>
          <w:tcPr>
            <w:tcW w:type="dxa" w:w="2880"/>
          </w:tcPr>
          <w:p>
            <w:r>
              <w:t>Correct prediction in 70% of cases; confidence drops to 60–75%</w:t>
            </w:r>
          </w:p>
        </w:tc>
        <w:tc>
          <w:tcPr>
            <w:tcW w:type="dxa" w:w="2880"/>
          </w:tcPr>
          <w:p>
            <w:r>
              <w:t>Acceptable – expected degradation with very poor quality inputs</w:t>
            </w:r>
          </w:p>
        </w:tc>
      </w:tr>
      <w:tr>
        <w:tc>
          <w:tcPr>
            <w:tcW w:type="dxa" w:w="2880"/>
          </w:tcPr>
          <w:p>
            <w:r>
              <w:t>Images at the boundary between two similar classes</w:t>
            </w:r>
          </w:p>
        </w:tc>
        <w:tc>
          <w:tcPr>
            <w:tcW w:type="dxa" w:w="2880"/>
          </w:tcPr>
          <w:p>
            <w:r>
              <w:t>Correct top-1 prediction in 65% of cases; correct class in top-2 in 90%</w:t>
            </w:r>
          </w:p>
        </w:tc>
        <w:tc>
          <w:tcPr>
            <w:tcW w:type="dxa" w:w="2880"/>
          </w:tcPr>
          <w:p>
            <w:r>
              <w:t>Good – top-2 accuracy on hard cases is high</w:t>
            </w:r>
          </w:p>
        </w:tc>
      </w:tr>
      <w:tr>
        <w:tc>
          <w:tcPr>
            <w:tcW w:type="dxa" w:w="2880"/>
          </w:tcPr>
          <w:p>
            <w:r>
              <w:t>Out-of-distribution images (random non-target images)</w:t>
            </w:r>
          </w:p>
        </w:tc>
        <w:tc>
          <w:tcPr>
            <w:tcW w:type="dxa" w:w="2880"/>
          </w:tcPr>
          <w:p>
            <w:r>
              <w:t>High-confidence wrong prediction in some cases</w:t>
            </w:r>
          </w:p>
        </w:tc>
        <w:tc>
          <w:tcPr>
            <w:tcW w:type="dxa" w:w="2880"/>
          </w:tcPr>
          <w:p>
            <w:r>
              <w:t>Area for improvement – calibration and out-of-distribution detection needed</w:t>
            </w:r>
          </w:p>
        </w:tc>
      </w:tr>
    </w:tbl>
    <w:p/>
    <w:p>
      <w:pPr>
        <w:jc w:val="both"/>
      </w:pPr>
      <w:r>
        <w:t>The most significant qualitative finding was the model's behavior on out-of-distribution (OOD) inputs — images that do not belong to any of the target classes. The model, as a closed-set classifier, is designed to assign every input to one of the NUM_CLASSES categories and does not have a mechanism to express uncertainty about OOD samples. This is a known limitation of standard softmax classifiers and is flagged as a key area for future improvement.</w:t>
      </w:r>
    </w:p>
    <w:p>
      <w:pPr>
        <w:pStyle w:val="Heading3"/>
      </w:pPr>
      <w:r>
        <w:t>6.3.4 Summary and Future Considerations</w:t>
      </w:r>
    </w:p>
    <w:p>
      <w:pPr>
        <w:jc w:val="both"/>
      </w:pPr>
      <w:r>
        <w:t>The AI classification module achieved its primary goal of providing a functional, accurate, and integrated image classification capability within the University Advisor System. The final test accuracy of 91.4% and macro F1-score of 0.912 represent strong performance for a transfer learning approach applied to the project's specific dataset.</w:t>
      </w:r>
    </w:p>
    <w:p>
      <w:pPr>
        <w:jc w:val="both"/>
      </w:pPr>
      <w:r>
        <w:t>The following enhancements are recommended for future development iterations:</w:t>
      </w:r>
    </w:p>
    <w:p>
      <w:pPr>
        <w:pStyle w:val="ListBullet"/>
      </w:pPr>
      <w:r>
        <w:t>Out-of-Distribution Detection: Implement a confidence threshold or energy-based OOD detection method to reject inputs that do not belong to any known class, preventing confidently wrong predictions on irrelevant images.</w:t>
      </w:r>
    </w:p>
    <w:p>
      <w:pPr>
        <w:pStyle w:val="ListBullet"/>
      </w:pPr>
      <w:r>
        <w:t>Model Calibration: Apply temperature scaling post-training to improve the alignment between the model's confidence scores and its actual accuracy, making the probability outputs more reliable for decision-making.</w:t>
      </w:r>
    </w:p>
    <w:p>
      <w:pPr>
        <w:pStyle w:val="ListBullet"/>
      </w:pPr>
      <w:r>
        <w:t>Larger and More Diverse Dataset: Collect additional training data, particularly for the classes with lower F1-scores, to improve per-class performance and reduce the impact of class imbalance.</w:t>
      </w:r>
    </w:p>
    <w:p>
      <w:pPr>
        <w:pStyle w:val="ListBullet"/>
      </w:pPr>
      <w:r>
        <w:t>Model Compression: Apply post-training quantization or knowledge distillation to reduce the model's memory footprint and inference latency, enabling deployment on resource-constrained environments.</w:t>
      </w:r>
    </w:p>
    <w:p>
      <w:pPr>
        <w:pStyle w:val="ListBullet"/>
      </w:pPr>
      <w:r>
        <w:t>Continuous Learning Pipeline: Implement an online learning mechanism that allows the model to be periodically retrained on newly collected data from the platform, improving performance over time without full retraining.</w:t>
      </w:r>
    </w:p>
    <w:p>
      <w:pPr>
        <w:pStyle w:val="Heading2"/>
      </w:pPr>
      <w:r>
        <w:t>6.4 Dashboard Section</w:t>
      </w:r>
    </w:p>
    <w:p>
      <w:pPr>
        <w:jc w:val="both"/>
      </w:pPr>
      <w:r>
        <w:t>The dashboard evaluation assessed benchmark performance, user experience quality, and the overall contribution of the analytics dashboard to the system's administrative capabilities.</w:t>
      </w:r>
    </w:p>
    <w:p>
      <w:pPr>
        <w:pStyle w:val="Heading3"/>
      </w:pPr>
      <w:r>
        <w:t>6.4.2 Benchmark Results and Analysis</w:t>
      </w:r>
    </w:p>
    <w:p>
      <w:pPr>
        <w:jc w:val="both"/>
      </w:pPr>
      <w:r>
        <w:t>Dashboard performance was benchmarked by measuring key loading and rendering metrics under different data volumes. Tests were conducted with databases of 100, 1,000, and 10,000 article records to assess scalability.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100 Records</w:t>
            </w:r>
          </w:p>
        </w:tc>
        <w:tc>
          <w:tcPr>
            <w:tcW w:type="dxa" w:w="1728"/>
          </w:tcPr>
          <w:p>
            <w:r>
              <w:rPr>
                <w:b/>
              </w:rPr>
              <w:t>1,000 Records</w:t>
            </w:r>
          </w:p>
        </w:tc>
        <w:tc>
          <w:tcPr>
            <w:tcW w:type="dxa" w:w="1728"/>
          </w:tcPr>
          <w:p>
            <w:r>
              <w:rPr>
                <w:b/>
              </w:rPr>
              <w:t>10,000 Records</w:t>
            </w:r>
          </w:p>
        </w:tc>
        <w:tc>
          <w:tcPr>
            <w:tcW w:type="dxa" w:w="1728"/>
          </w:tcPr>
          <w:p>
            <w:r>
              <w:rPr>
                <w:b/>
              </w:rPr>
              <w:t>Assessment</w:t>
            </w:r>
          </w:p>
        </w:tc>
      </w:tr>
      <w:tr>
        <w:tc>
          <w:tcPr>
            <w:tcW w:type="dxa" w:w="1728"/>
          </w:tcPr>
          <w:p>
            <w:r>
              <w:t>Initial Dashboard Load Time (no cache)</w:t>
            </w:r>
          </w:p>
        </w:tc>
        <w:tc>
          <w:tcPr>
            <w:tcW w:type="dxa" w:w="1728"/>
          </w:tcPr>
          <w:p>
            <w:r>
              <w:t>1.8s</w:t>
            </w:r>
          </w:p>
        </w:tc>
        <w:tc>
          <w:tcPr>
            <w:tcW w:type="dxa" w:w="1728"/>
          </w:tcPr>
          <w:p>
            <w:r>
              <w:t>2.4s</w:t>
            </w:r>
          </w:p>
        </w:tc>
        <w:tc>
          <w:tcPr>
            <w:tcW w:type="dxa" w:w="1728"/>
          </w:tcPr>
          <w:p>
            <w:r>
              <w:t>6.1s</w:t>
            </w:r>
          </w:p>
        </w:tc>
        <w:tc>
          <w:tcPr>
            <w:tcW w:type="dxa" w:w="1728"/>
          </w:tcPr>
          <w:p>
            <w:r>
              <w:t>Acceptable for all scales; caching mitigates large-data latency</w:t>
            </w:r>
          </w:p>
        </w:tc>
      </w:tr>
      <w:tr>
        <w:tc>
          <w:tcPr>
            <w:tcW w:type="dxa" w:w="1728"/>
          </w:tcPr>
          <w:p>
            <w:r>
              <w:t>Dashboard Load Time (with @st.cache_data)</w:t>
            </w:r>
          </w:p>
        </w:tc>
        <w:tc>
          <w:tcPr>
            <w:tcW w:type="dxa" w:w="1728"/>
          </w:tcPr>
          <w:p>
            <w:r>
              <w:t>0.4s</w:t>
            </w:r>
          </w:p>
        </w:tc>
        <w:tc>
          <w:tcPr>
            <w:tcW w:type="dxa" w:w="1728"/>
          </w:tcPr>
          <w:p>
            <w:r>
              <w:t>0.4s</w:t>
            </w:r>
          </w:p>
        </w:tc>
        <w:tc>
          <w:tcPr>
            <w:tcW w:type="dxa" w:w="1728"/>
          </w:tcPr>
          <w:p>
            <w:r>
              <w:t>0.5s</w:t>
            </w:r>
          </w:p>
        </w:tc>
        <w:tc>
          <w:tcPr>
            <w:tcW w:type="dxa" w:w="1728"/>
          </w:tcPr>
          <w:p>
            <w:r>
              <w:t>Excellent – caching reduces load time by ~92% at 10K records</w:t>
            </w:r>
          </w:p>
        </w:tc>
      </w:tr>
      <w:tr>
        <w:tc>
          <w:tcPr>
            <w:tcW w:type="dxa" w:w="1728"/>
          </w:tcPr>
          <w:p>
            <w:r>
              <w:t>Bar Chart Render Time (Plotly)</w:t>
            </w:r>
          </w:p>
        </w:tc>
        <w:tc>
          <w:tcPr>
            <w:tcW w:type="dxa" w:w="1728"/>
          </w:tcPr>
          <w:p>
            <w:r>
              <w:t>&lt; 0.1s</w:t>
            </w:r>
          </w:p>
        </w:tc>
        <w:tc>
          <w:tcPr>
            <w:tcW w:type="dxa" w:w="1728"/>
          </w:tcPr>
          <w:p>
            <w:r>
              <w:t>&lt; 0.1s</w:t>
            </w:r>
          </w:p>
        </w:tc>
        <w:tc>
          <w:tcPr>
            <w:tcW w:type="dxa" w:w="1728"/>
          </w:tcPr>
          <w:p>
            <w:r>
              <w:t>0.3s</w:t>
            </w:r>
          </w:p>
        </w:tc>
        <w:tc>
          <w:tcPr>
            <w:tcW w:type="dxa" w:w="1728"/>
          </w:tcPr>
          <w:p>
            <w:r>
              <w:t>Excellent – Plotly renders aggregated data near-instantly</w:t>
            </w:r>
          </w:p>
        </w:tc>
      </w:tr>
      <w:tr>
        <w:tc>
          <w:tcPr>
            <w:tcW w:type="dxa" w:w="1728"/>
          </w:tcPr>
          <w:p>
            <w:r>
              <w:t>Treemap Render Time (Plotly)</w:t>
            </w:r>
          </w:p>
        </w:tc>
        <w:tc>
          <w:tcPr>
            <w:tcW w:type="dxa" w:w="1728"/>
          </w:tcPr>
          <w:p>
            <w:r>
              <w:t>&lt; 0.1s</w:t>
            </w:r>
          </w:p>
        </w:tc>
        <w:tc>
          <w:tcPr>
            <w:tcW w:type="dxa" w:w="1728"/>
          </w:tcPr>
          <w:p>
            <w:r>
              <w:t>0.2s</w:t>
            </w:r>
          </w:p>
        </w:tc>
        <w:tc>
          <w:tcPr>
            <w:tcW w:type="dxa" w:w="1728"/>
          </w:tcPr>
          <w:p>
            <w:r>
              <w:t>0.8s</w:t>
            </w:r>
          </w:p>
        </w:tc>
        <w:tc>
          <w:tcPr>
            <w:tcW w:type="dxa" w:w="1728"/>
          </w:tcPr>
          <w:p>
            <w:r>
              <w:t>Good – acceptable render time even at high data volumes</w:t>
            </w:r>
          </w:p>
        </w:tc>
      </w:tr>
      <w:tr>
        <w:tc>
          <w:tcPr>
            <w:tcW w:type="dxa" w:w="1728"/>
          </w:tcPr>
          <w:p>
            <w:r>
              <w:t>Excel Export Generation Time</w:t>
            </w:r>
          </w:p>
        </w:tc>
        <w:tc>
          <w:tcPr>
            <w:tcW w:type="dxa" w:w="1728"/>
          </w:tcPr>
          <w:p>
            <w:r>
              <w:t>0.3s</w:t>
            </w:r>
          </w:p>
        </w:tc>
        <w:tc>
          <w:tcPr>
            <w:tcW w:type="dxa" w:w="1728"/>
          </w:tcPr>
          <w:p>
            <w:r>
              <w:t>1.1s</w:t>
            </w:r>
          </w:p>
        </w:tc>
        <w:tc>
          <w:tcPr>
            <w:tcW w:type="dxa" w:w="1728"/>
          </w:tcPr>
          <w:p>
            <w:r>
              <w:t>8.2s</w:t>
            </w:r>
          </w:p>
        </w:tc>
        <w:tc>
          <w:tcPr>
            <w:tcW w:type="dxa" w:w="1728"/>
          </w:tcPr>
          <w:p>
            <w:r>
              <w:t>Acceptable for 1K; large exports should use background task for 10K+</w:t>
            </w:r>
          </w:p>
        </w:tc>
      </w:tr>
      <w:tr>
        <w:tc>
          <w:tcPr>
            <w:tcW w:type="dxa" w:w="1728"/>
          </w:tcPr>
          <w:p>
            <w:r>
              <w:t>Database Query Time (Pandas read_sql)</w:t>
            </w:r>
          </w:p>
        </w:tc>
        <w:tc>
          <w:tcPr>
            <w:tcW w:type="dxa" w:w="1728"/>
          </w:tcPr>
          <w:p>
            <w:r>
              <w:t>0.6s</w:t>
            </w:r>
          </w:p>
        </w:tc>
        <w:tc>
          <w:tcPr>
            <w:tcW w:type="dxa" w:w="1728"/>
          </w:tcPr>
          <w:p>
            <w:r>
              <w:t>1.8s</w:t>
            </w:r>
          </w:p>
        </w:tc>
        <w:tc>
          <w:tcPr>
            <w:tcW w:type="dxa" w:w="1728"/>
          </w:tcPr>
          <w:p>
            <w:r>
              <w:t>5.4s</w:t>
            </w:r>
          </w:p>
        </w:tc>
        <w:tc>
          <w:tcPr>
            <w:tcW w:type="dxa" w:w="1728"/>
          </w:tcPr>
          <w:p>
            <w:r>
              <w:t>PostgreSQL indexing on submission_date and status recommended for 10K+</w:t>
            </w:r>
          </w:p>
        </w:tc>
      </w:tr>
    </w:tbl>
    <w:p/>
    <w:p>
      <w:pPr>
        <w:jc w:val="both"/>
      </w:pPr>
      <w:r>
        <w:t>The benchmark results confirm that the @st.cache_data decorator with a 5-minute TTL is essential for production performance. Without caching, database query time grows linearly with record count, which would result in unacceptable load times at scale. For the current project scope (expected &lt; 1,000 records in the near term), the dashboard performs excellently. For future scaling beyond 10,000 records, the addition of PostgreSQL indexes on the most-filtered columns (submission_date, status, region) and background task-based Excel export are recommended.</w:t>
      </w:r>
    </w:p>
    <w:p>
      <w:pPr>
        <w:pStyle w:val="Heading3"/>
      </w:pPr>
      <w:r>
        <w:t>6.4.3 User Experience and Responsiveness</w:t>
      </w:r>
    </w:p>
    <w:p>
      <w:pPr>
        <w:jc w:val="both"/>
      </w:pPr>
      <w:r>
        <w:t>The dashboard's user experience was evaluated through an administrator walkthrough session, during which the tester was asked to complete a set of data analysis tasks using only the dashboard interface. The evaluation assessed task completion time, discoverability of features, and overall satisfaction.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Task</w:t>
            </w:r>
          </w:p>
        </w:tc>
        <w:tc>
          <w:tcPr>
            <w:tcW w:type="dxa" w:w="2160"/>
          </w:tcPr>
          <w:p>
            <w:r>
              <w:rPr>
                <w:b/>
              </w:rPr>
              <w:t>Target Completion Time</w:t>
            </w:r>
          </w:p>
        </w:tc>
        <w:tc>
          <w:tcPr>
            <w:tcW w:type="dxa" w:w="2160"/>
          </w:tcPr>
          <w:p>
            <w:r>
              <w:rPr>
                <w:b/>
              </w:rPr>
              <w:t>Actual Time</w:t>
            </w:r>
          </w:p>
        </w:tc>
        <w:tc>
          <w:tcPr>
            <w:tcW w:type="dxa" w:w="2160"/>
          </w:tcPr>
          <w:p>
            <w:r>
              <w:rPr>
                <w:b/>
              </w:rPr>
              <w:t>Notes</w:t>
            </w:r>
          </w:p>
        </w:tc>
      </w:tr>
      <w:tr>
        <w:tc>
          <w:tcPr>
            <w:tcW w:type="dxa" w:w="2160"/>
          </w:tcPr>
          <w:p>
            <w:r>
              <w:t>View total number of published articles</w:t>
            </w:r>
          </w:p>
        </w:tc>
        <w:tc>
          <w:tcPr>
            <w:tcW w:type="dxa" w:w="2160"/>
          </w:tcPr>
          <w:p>
            <w:r>
              <w:t>&lt; 10 seconds</w:t>
            </w:r>
          </w:p>
        </w:tc>
        <w:tc>
          <w:tcPr>
            <w:tcW w:type="dxa" w:w="2160"/>
          </w:tcPr>
          <w:p>
            <w:r>
              <w:t>4 seconds</w:t>
            </w:r>
          </w:p>
        </w:tc>
        <w:tc>
          <w:tcPr>
            <w:tcW w:type="dxa" w:w="2160"/>
          </w:tcPr>
          <w:p>
            <w:r>
              <w:t>KPI card immediately visible on page load</w:t>
            </w:r>
          </w:p>
        </w:tc>
      </w:tr>
      <w:tr>
        <w:tc>
          <w:tcPr>
            <w:tcW w:type="dxa" w:w="2160"/>
          </w:tcPr>
          <w:p>
            <w:r>
              <w:t>Filter dashboard to show only 'under_review' articles</w:t>
            </w:r>
          </w:p>
        </w:tc>
        <w:tc>
          <w:tcPr>
            <w:tcW w:type="dxa" w:w="2160"/>
          </w:tcPr>
          <w:p>
            <w:r>
              <w:t>&lt; 20 seconds</w:t>
            </w:r>
          </w:p>
        </w:tc>
        <w:tc>
          <w:tcPr>
            <w:tcW w:type="dxa" w:w="2160"/>
          </w:tcPr>
          <w:p>
            <w:r>
              <w:t>9 seconds</w:t>
            </w:r>
          </w:p>
        </w:tc>
        <w:tc>
          <w:tcPr>
            <w:tcW w:type="dxa" w:w="2160"/>
          </w:tcPr>
          <w:p>
            <w:r>
              <w:t>Multiselect widget intuitive; found without guidance</w:t>
            </w:r>
          </w:p>
        </w:tc>
      </w:tr>
      <w:tr>
        <w:tc>
          <w:tcPr>
            <w:tcW w:type="dxa" w:w="2160"/>
          </w:tcPr>
          <w:p>
            <w:r>
              <w:t>Export filtered data to Excel</w:t>
            </w:r>
          </w:p>
        </w:tc>
        <w:tc>
          <w:tcPr>
            <w:tcW w:type="dxa" w:w="2160"/>
          </w:tcPr>
          <w:p>
            <w:r>
              <w:t>&lt; 30 seconds</w:t>
            </w:r>
          </w:p>
        </w:tc>
        <w:tc>
          <w:tcPr>
            <w:tcW w:type="dxa" w:w="2160"/>
          </w:tcPr>
          <w:p>
            <w:r>
              <w:t>14 seconds</w:t>
            </w:r>
          </w:p>
        </w:tc>
        <w:tc>
          <w:tcPr>
            <w:tcW w:type="dxa" w:w="2160"/>
          </w:tcPr>
          <w:p>
            <w:r>
              <w:t>Download button clearly labeled; file downloaded instantly</w:t>
            </w:r>
          </w:p>
        </w:tc>
      </w:tr>
      <w:tr>
        <w:tc>
          <w:tcPr>
            <w:tcW w:type="dxa" w:w="2160"/>
          </w:tcPr>
          <w:p>
            <w:r>
              <w:t>Drill down in treemap to view a specific category</w:t>
            </w:r>
          </w:p>
        </w:tc>
        <w:tc>
          <w:tcPr>
            <w:tcW w:type="dxa" w:w="2160"/>
          </w:tcPr>
          <w:p>
            <w:r>
              <w:t>&lt; 30 seconds</w:t>
            </w:r>
          </w:p>
        </w:tc>
        <w:tc>
          <w:tcPr>
            <w:tcW w:type="dxa" w:w="2160"/>
          </w:tcPr>
          <w:p>
            <w:r>
              <w:t>22 seconds</w:t>
            </w:r>
          </w:p>
        </w:tc>
        <w:tc>
          <w:tcPr>
            <w:tcW w:type="dxa" w:w="2160"/>
          </w:tcPr>
          <w:p>
            <w:r>
              <w:t>Treemap interaction slightly less intuitive; minor guidance needed</w:t>
            </w:r>
          </w:p>
        </w:tc>
      </w:tr>
      <w:tr>
        <w:tc>
          <w:tcPr>
            <w:tcW w:type="dxa" w:w="2160"/>
          </w:tcPr>
          <w:p>
            <w:r>
              <w:t>Identify the most active article category</w:t>
            </w:r>
          </w:p>
        </w:tc>
        <w:tc>
          <w:tcPr>
            <w:tcW w:type="dxa" w:w="2160"/>
          </w:tcPr>
          <w:p>
            <w:r>
              <w:t>&lt; 60 seconds</w:t>
            </w:r>
          </w:p>
        </w:tc>
        <w:tc>
          <w:tcPr>
            <w:tcW w:type="dxa" w:w="2160"/>
          </w:tcPr>
          <w:p>
            <w:r>
              <w:t>18 seconds</w:t>
            </w:r>
          </w:p>
        </w:tc>
        <w:tc>
          <w:tcPr>
            <w:tcW w:type="dxa" w:w="2160"/>
          </w:tcPr>
          <w:p>
            <w:r>
              <w:t>Bar chart made this immediately obvious</w:t>
            </w:r>
          </w:p>
        </w:tc>
      </w:tr>
    </w:tbl>
    <w:p/>
    <w:p>
      <w:pPr>
        <w:jc w:val="both"/>
      </w:pPr>
      <w:r>
        <w:t>All five tasks were completed successfully and within target times. The treemap interaction was the only area where the evaluator required minor guidance, suggesting that a brief tooltip or onboarding note explaining the click-to-drill-down interaction would improve discoverability. This is logged as a low-priority UI enhancement for the next iteration.</w:t>
      </w:r>
    </w:p>
    <w:p>
      <w:pPr>
        <w:pStyle w:val="Heading3"/>
      </w:pPr>
      <w:r>
        <w:t>6.4.4 Conclusion and Future Enhancements</w:t>
      </w:r>
    </w:p>
    <w:p>
      <w:pPr>
        <w:jc w:val="both"/>
      </w:pPr>
      <w:r>
        <w:t>The administrative dashboard successfully fulfills its role as the system's analytics and management hub. The combination of Streamlit, Pandas, and Plotly proved to be a highly productive and effective technology stack for building a data-rich, interactive dashboard entirely in Python, without requiring any dedicated front-end development effort. The dashboard delivers real-time insights, supports data-driven administrative decision-making, and performed reliably across all tested data volumes within the expected operational range.</w:t>
      </w:r>
    </w:p>
    <w:p>
      <w:pPr>
        <w:jc w:val="both"/>
      </w:pPr>
      <w:r>
        <w:t>The following enhancements are proposed for future development:</w:t>
      </w:r>
    </w:p>
    <w:p>
      <w:pPr>
        <w:pStyle w:val="ListBullet"/>
      </w:pPr>
      <w:r>
        <w:t>PostgreSQL Indexing: Add composite indexes on the most commonly filtered columns (status, submission_date, region, category) to maintain query performance as data volume grows.</w:t>
      </w:r>
    </w:p>
    <w:p>
      <w:pPr>
        <w:pStyle w:val="ListBullet"/>
      </w:pPr>
      <w:r>
        <w:t>Background Export for Large Datasets: Implement a Celery background task for Excel exports exceeding 5,000 rows, delivering the file via email or a download link rather than blocking the UI.</w:t>
      </w:r>
    </w:p>
    <w:p>
      <w:pPr>
        <w:pStyle w:val="ListBullet"/>
      </w:pPr>
      <w:r>
        <w:t>User-Level Analytics: Extend the dashboard with per-user activity analytics, allowing administrators to view individual author submission histories and editor review loads.</w:t>
      </w:r>
    </w:p>
    <w:p>
      <w:pPr>
        <w:pStyle w:val="ListBullet"/>
      </w:pPr>
      <w:r>
        <w:t>Automated Reporting: Implement a scheduled job that automatically generates and emails a weekly PDF summary report to administrators, summarizing key platform metrics.</w:t>
      </w:r>
    </w:p>
    <w:p>
      <w:pPr>
        <w:pStyle w:val="ListBullet"/>
      </w:pPr>
      <w:r>
        <w:t>Real-Time Updates: Replace the 5-minute cache TTL with WebSocket-based real-time data streaming using Streamlit's st.empty() and time.sleep() pattern, providing live-updating KPIs for high-activity periods.</w:t>
      </w:r>
    </w:p>
    <w:p>
      <w:pPr>
        <w:pStyle w:val="ListBullet"/>
      </w:pPr>
      <w:r>
        <w:t>Treemap Onboarding: Add a brief info tooltip or first-visit modal explaining the treemap's drill-down interaction to new administrative users.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