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spacing w:after="140" w:before="280"/>
      </w:pPr>
      <w:r>
        <w:t xml:space="preserve">Карта сотрудника — самый дорогой способ купить софт?</w:t>
      </w:r>
    </w:p>
    <w:p>
      <w:pPr>
        <w:spacing w:after="160" w:line="300"/>
      </w:pPr>
      <w:r>
        <w:t xml:space="preserve">На сайте зарубежного сервиса подписка стоит эквивалент 100 000 ₽. Сотрудник оплачивает её своей картой, компания возвращает деньги — кажется, что покупка стоила ровно 100 000 ₽.</w:t>
      </w:r>
    </w:p>
    <w:p>
      <w:pPr>
        <w:spacing w:after="160" w:line="300"/>
      </w:pPr>
      <w:r>
        <w:t xml:space="preserve">Но это только взгляд пользователя. Бухгалтер видит документы и налоги. Руководитель отдела — риск остановки работы. Собственник — деньги, которые реально ушли из компании. А сотрудник — свою личную карту, зарубежный счёт, конвертацию валюты и время, которое он тратит на чужой для себя платёжный процесс. Одна и та же подписка получает четыре разные стоимости.</w:t>
      </w:r>
    </w:p>
    <w:p>
      <w:pPr>
        <w:spacing w:after="160" w:line="300"/>
      </w:pPr>
      <w:r>
        <w:t xml:space="preserve">Мы в BIZSoft оформляем зарубежные лицензии, SaaS и AI-сервисы для российских компаний, то есть коммерчески заинтересованы в корпоративной модели покупки. Говорим об этом сразу. Но задача статьи не в том, чтобы доказать, что любую подписку нужно покупать через российского поставщика: личная карта в ряде случаев остаётся самым простым и рациональным способом. Задача другая — собрать экономику одной покупки в общую картину и показать, как посчитать свой сценарий.</w:t>
      </w:r>
    </w:p>
    <w:p>
      <w:pPr>
        <w:spacing w:after="160" w:line="300"/>
      </w:pPr>
      <w:r>
        <w:rPr>
          <w:b/>
          <w:bCs/>
        </w:rPr>
        <w:t xml:space="preserve">Важная рамка.</w:t>
      </w:r>
      <w:r>
        <w:t xml:space="preserve"> Дальше приводится расчётная модель с налоговыми параметрами. Это не налоговая консультация и не утверждение о том, как следует оформлять конкретную операцию. Ставки, пороги и правила учёта меняются, а применимость каждого элемента зависит от системы налогообложения, вида деятельности и документов конкретной компании. Любую цифру отсюда проверяйте со своим бухгалтером и налоговым консультантом на дату покупки.</w:t>
      </w:r>
    </w:p>
    <w:p>
      <w:pPr>
        <w:pStyle w:val="Heading3"/>
        <w:keepNext/>
        <w:spacing w:after="140" w:before="280"/>
      </w:pPr>
      <w:r>
        <w:t xml:space="preserve">Одна лицензия — четыре разных взгляда</w:t>
      </w:r>
    </w:p>
    <w:p>
      <w:pPr>
        <w:spacing w:after="160" w:line="300"/>
      </w:pPr>
      <w:r>
        <w:t xml:space="preserve">Возьмём зарубежный сервис с годовой подпиской в пересчёте 100 000 ₽.</w:t>
      </w:r>
    </w:p>
    <w:p>
      <w:pPr>
        <w:spacing w:after="160" w:line="300"/>
      </w:pPr>
      <w:r>
        <w:rPr>
          <w:b/>
          <w:bCs/>
        </w:rPr>
        <w:t xml:space="preserve">Пользователь видит 100 000 ₽.</w:t>
      </w:r>
      <w:r>
        <w:t xml:space="preserve"> Ему нужен инструмент: открыл сайт, выбрал тариф, ввёл данные карты, через минуту работает. С его точки зрения задача решена идеально. Если продуктом пользуется один человек, критичных корпоративных данных внутри нет и сервис легко заменяется — усложнять эту схему иногда действительно незачем.</w:t>
      </w:r>
    </w:p>
    <w:p>
      <w:pPr>
        <w:spacing w:after="160" w:line="300"/>
      </w:pPr>
      <w:r>
        <w:rPr>
          <w:b/>
          <w:bCs/>
        </w:rPr>
        <w:t xml:space="preserve">Руководитель отдела видит доступность сервиса.</w:t>
      </w:r>
      <w:r>
        <w:t xml:space="preserve"> Его вопросы другие:</w:t>
      </w:r>
    </w:p>
    <w:p>
      <w:pPr>
        <w:pStyle w:val="ListParagraph"/>
        <w:numPr>
          <w:ilvl w:val="0"/>
          <w:numId w:val="1"/>
        </w:numPr>
        <w:spacing w:after="80" w:line="300"/>
      </w:pPr>
      <w:r>
        <w:t xml:space="preserve">сможет ли сотрудник работать завтра;</w:t>
      </w:r>
    </w:p>
    <w:p>
      <w:pPr>
        <w:pStyle w:val="ListParagraph"/>
        <w:numPr>
          <w:ilvl w:val="0"/>
          <w:numId w:val="1"/>
        </w:numPr>
        <w:spacing w:after="80" w:line="300"/>
      </w:pPr>
      <w:r>
        <w:t xml:space="preserve">что произойдёт при отказе оплаты;</w:t>
      </w:r>
    </w:p>
    <w:p>
      <w:pPr>
        <w:pStyle w:val="ListParagraph"/>
        <w:numPr>
          <w:ilvl w:val="0"/>
          <w:numId w:val="1"/>
        </w:numPr>
        <w:spacing w:after="80" w:line="300"/>
      </w:pPr>
      <w:r>
        <w:t xml:space="preserve">кому принадлежит аккаунт;</w:t>
      </w:r>
    </w:p>
    <w:p>
      <w:pPr>
        <w:pStyle w:val="ListParagraph"/>
        <w:numPr>
          <w:ilvl w:val="0"/>
          <w:numId w:val="1"/>
        </w:numPr>
        <w:spacing w:after="80" w:line="300"/>
      </w:pPr>
      <w:r>
        <w:t xml:space="preserve">можно ли передать его другому сотруднику;</w:t>
      </w:r>
    </w:p>
    <w:p>
      <w:pPr>
        <w:pStyle w:val="ListParagraph"/>
        <w:numPr>
          <w:ilvl w:val="0"/>
          <w:numId w:val="1"/>
        </w:numPr>
        <w:spacing w:after="80" w:line="300"/>
      </w:pPr>
      <w:r>
        <w:t xml:space="preserve">что будет с рабочими данными при увольнении пользователя.</w:t>
      </w:r>
    </w:p>
    <w:p>
      <w:pPr>
        <w:spacing w:after="160" w:line="300"/>
      </w:pPr>
      <w:r>
        <w:t xml:space="preserve">Для него стоимость подписки — это её цена плюс потенциальная стоимость простоя подразделения.</w:t>
      </w:r>
    </w:p>
    <w:p>
      <w:pPr>
        <w:spacing w:after="160" w:line="300"/>
      </w:pPr>
      <w:r>
        <w:rPr>
          <w:b/>
          <w:bCs/>
        </w:rPr>
        <w:t xml:space="preserve">Бухгалтер видит хозяйственную операцию.</w:t>
      </w:r>
      <w:r>
        <w:t xml:space="preserve"> Списание с карты само по себе ещё ничего не решает, нужно установить:</w:t>
      </w:r>
    </w:p>
    <w:p>
      <w:pPr>
        <w:pStyle w:val="ListParagraph"/>
        <w:numPr>
          <w:ilvl w:val="0"/>
          <w:numId w:val="1"/>
        </w:numPr>
        <w:spacing w:after="80" w:line="300"/>
      </w:pPr>
      <w:r>
        <w:t xml:space="preserve">кто фактически является покупателем;</w:t>
      </w:r>
    </w:p>
    <w:p>
      <w:pPr>
        <w:pStyle w:val="ListParagraph"/>
        <w:numPr>
          <w:ilvl w:val="0"/>
          <w:numId w:val="1"/>
        </w:numPr>
        <w:spacing w:after="80" w:line="300"/>
      </w:pPr>
      <w:r>
        <w:t xml:space="preserve">на кого оформлен аккаунт и кто выступает лицензиатом;</w:t>
      </w:r>
    </w:p>
    <w:p>
      <w:pPr>
        <w:pStyle w:val="ListParagraph"/>
        <w:numPr>
          <w:ilvl w:val="0"/>
          <w:numId w:val="1"/>
        </w:numPr>
        <w:spacing w:after="80" w:line="300"/>
      </w:pPr>
      <w:r>
        <w:t xml:space="preserve">какие документы получены;</w:t>
      </w:r>
    </w:p>
    <w:p>
      <w:pPr>
        <w:pStyle w:val="ListParagraph"/>
        <w:numPr>
          <w:ilvl w:val="0"/>
          <w:numId w:val="1"/>
        </w:numPr>
        <w:spacing w:after="80" w:line="300"/>
      </w:pPr>
      <w:r>
        <w:t xml:space="preserve">можно ли подтвердить экономическую обоснованность расхода;</w:t>
      </w:r>
    </w:p>
    <w:p>
      <w:pPr>
        <w:pStyle w:val="ListParagraph"/>
        <w:numPr>
          <w:ilvl w:val="0"/>
          <w:numId w:val="1"/>
        </w:numPr>
        <w:spacing w:after="80" w:line="300"/>
      </w:pPr>
      <w:r>
        <w:t xml:space="preserve">можно ли учесть его для целей налогообложения;</w:t>
      </w:r>
    </w:p>
    <w:p>
      <w:pPr>
        <w:pStyle w:val="ListParagraph"/>
        <w:numPr>
          <w:ilvl w:val="0"/>
          <w:numId w:val="1"/>
        </w:numPr>
        <w:spacing w:after="80" w:line="300"/>
      </w:pPr>
      <w:r>
        <w:t xml:space="preserve">возникают ли НДС, НДФЛ и страховые взносы.</w:t>
      </w:r>
    </w:p>
    <w:p>
      <w:pPr>
        <w:spacing w:after="160" w:line="300"/>
      </w:pPr>
      <w:r>
        <w:rPr>
          <w:b/>
          <w:bCs/>
        </w:rPr>
        <w:t xml:space="preserve">Руководитель компании видит совокупную стоимость.</w:t>
      </w:r>
      <w:r>
        <w:t xml:space="preserve"> Его вопрос звучит не «сколько стоит подписка», а «сколько компании в итоге стоит год использования этого продукта». Это две разные цифры.</w:t>
      </w:r>
    </w:p>
    <w:p>
      <w:pPr>
        <w:pStyle w:val="Heading3"/>
        <w:keepNext/>
        <w:spacing w:after="140" w:before="280"/>
      </w:pPr>
      <w:r>
        <w:t xml:space="preserve">Способ оплаты сам по себе не определяет лицензиата</w:t>
      </w:r>
    </w:p>
    <w:p>
      <w:pPr>
        <w:spacing w:after="160" w:line="300"/>
      </w:pPr>
      <w:r>
        <w:t xml:space="preserve">Здесь важно избежать распространённого упрощения. Нельзя автоматически утверждать: «заплатил своей картой — значит, лицензия принадлежит сотруднику».</w:t>
      </w:r>
    </w:p>
    <w:p>
      <w:pPr>
        <w:spacing w:after="160" w:line="300"/>
      </w:pPr>
      <w:r>
        <w:t xml:space="preserve">Для программного обеспечения значение имеют условия конкретного лицензионного или пользовательского соглашения и то, кто выступает его стороной. Если сотрудник зарегистрировал персональный аккаунт, указал себя пользователем, принял условия персонального тарифа и использует личную почту — может оказаться, что именно физическое лицо является пользователем или лицензиатом по условиям сервиса. Но возможна и другая модель: сотрудник технически проводит платёж своей картой, а рабочее пространство и права оформлены на организацию.</w:t>
      </w:r>
    </w:p>
    <w:p>
      <w:pPr>
        <w:spacing w:after="160" w:line="300"/>
      </w:pPr>
      <w:r>
        <w:t xml:space="preserve">Поэтому правильный вопрос не «с чьей карты заплатили», а </w:t>
      </w:r>
      <w:r>
        <w:rPr>
          <w:b/>
          <w:bCs/>
        </w:rPr>
        <w:t xml:space="preserve">«на кого оформлено право использования и кто контролирует рабочий аккаунт»</w:t>
      </w:r>
      <w:r>
        <w:t xml:space="preserve">.</w:t>
      </w:r>
    </w:p>
    <w:p>
      <w:pPr>
        <w:pStyle w:val="Heading3"/>
        <w:keepNext/>
        <w:spacing w:after="140" w:before="280"/>
      </w:pPr>
      <w:r>
        <w:t xml:space="preserve">Из чего складывается совокупная стоимость владения</w:t>
      </w:r>
    </w:p>
    <w:p>
      <w:pPr>
        <w:spacing w:after="160" w:line="300"/>
      </w:pPr>
      <w:r>
        <w:t xml:space="preserve">Для бизнеса имеет смысл считать не цену лицензии, а совокупную стоимость владения подпиской:</w:t>
      </w:r>
    </w:p>
    <w:p>
      <w:pPr>
        <w:spacing w:after="160" w:line="300"/>
      </w:pPr>
      <w:r>
        <w:rPr>
          <w:b/>
          <w:bCs/>
        </w:rPr>
        <w:t xml:space="preserve">стоимость продукта + банковские и валютные расходы + административные затраты + возможный простой + восстановление доступа + стоимость неиспользуемых лицензий + налоговые последствия выбранного способа компенсации.</w:t>
      </w:r>
    </w:p>
    <w:p>
      <w:pPr>
        <w:spacing w:after="160" w:line="300"/>
      </w:pPr>
      <w:r>
        <w:t xml:space="preserve">Дальше — по элементам.</w:t>
      </w:r>
    </w:p>
    <w:p>
      <w:pPr>
        <w:pStyle w:val="Heading3"/>
        <w:keepNext/>
        <w:spacing w:after="140" w:before="280"/>
      </w:pPr>
      <w:r>
        <w:t xml:space="preserve">1. Личная карта сотрудника — не бесплатная платёжная инфраструктура</w:t>
      </w:r>
    </w:p>
    <w:p>
      <w:pPr>
        <w:spacing w:after="160" w:line="300"/>
      </w:pPr>
      <w:r>
        <w:t xml:space="preserve">Компания иногда рассуждает так: «у сотрудника есть зарубежная карта — пусть просто оплатит». Но для самого сотрудника эта инфраструктура может быть далеко не бесплатной. Если деньги нужно сначала вывести за пределы России или пополнить зарубежный счёт, возникают комиссия за перевод, комиссии банков-корреспондентов, расходы на канал перевода, конвертация валюты, разница между официальным и фактическим курсом, комиссии при зачислении.</w:t>
      </w:r>
    </w:p>
    <w:p>
      <w:pPr>
        <w:spacing w:after="160" w:line="300"/>
      </w:pPr>
      <w:r>
        <w:t xml:space="preserve">Размер этих расходов полностью зависит от банка, страны, валюты и способа перевода — универсальной надбавки здесь нет. Но для моделирования допустим сценарий, где совокупные расходы на доведение денег до зарубежной карты и конвертацию составляют 15% от цены продукта:</w:t>
      </w:r>
    </w:p>
    <w:p>
      <w:pPr>
        <w:spacing w:after="160" w:line="300"/>
      </w:pPr>
      <w:r>
        <w:rPr>
          <w:b/>
          <w:bCs/>
        </w:rPr>
        <w:t xml:space="preserve">100 000 × 1,15 = 115 000 ₽.</w:t>
      </w:r>
    </w:p>
    <w:p>
      <w:pPr>
        <w:spacing w:after="160" w:line="300"/>
      </w:pPr>
      <w:r>
        <w:t xml:space="preserve">В этом расчётном сценарии фактическая сумма затрат сотрудника увеличивается до 115 000 ₽.</w:t>
      </w:r>
    </w:p>
    <w:p>
      <w:pPr>
        <w:spacing w:after="160" w:line="300"/>
      </w:pPr>
      <w:r>
        <w:rPr>
          <w:i/>
          <w:iCs/>
        </w:rPr>
        <w:t xml:space="preserve">15% — не норматив и не утверждение о средней комиссии, а параметр расчётного сценария.</w:t>
      </w:r>
    </w:p>
    <w:p>
      <w:pPr>
        <w:pStyle w:val="Heading3"/>
        <w:keepNext/>
        <w:spacing w:after="140" w:before="280"/>
      </w:pPr>
      <w:r>
        <w:t xml:space="preserve">2. У сотрудника возникает и личная операционная нагрузка</w:t>
      </w:r>
    </w:p>
    <w:p>
      <w:pPr>
        <w:spacing w:after="160" w:line="300"/>
      </w:pPr>
      <w:r>
        <w:t xml:space="preserve">Фактор, который в корпоративную калькуляцию попадает редко. Сотрудник использует личную карту, личный зарубежный счёт, собственные деньги, свои валютные лимиты, своё время и принимает на себя риск блокировки или проверки операции — то есть предоставляет работодателю личную финансовую инфраструктуру для корпоративной закупки.</w:t>
      </w:r>
    </w:p>
    <w:p>
      <w:pPr>
        <w:spacing w:after="160" w:line="300"/>
      </w:pPr>
      <w:r>
        <w:t xml:space="preserve">Компания может отдельно компенсировать сотруднику использование личной финансовой инфраструктуры, валютные и операционные издержки. В расчётной модели для иллюстрации используется дополнительная компенсация 10% от фактических затрат:</w:t>
      </w:r>
    </w:p>
    <w:p>
      <w:pPr>
        <w:spacing w:after="160" w:line="300"/>
      </w:pPr>
      <w:r>
        <w:rPr>
          <w:b/>
          <w:bCs/>
        </w:rPr>
        <w:t xml:space="preserve">115 000 × 1,10 = 126 500 ₽.</w:t>
      </w:r>
    </w:p>
    <w:p>
      <w:pPr>
        <w:spacing w:after="160" w:line="300"/>
      </w:pPr>
      <w:r>
        <w:t xml:space="preserve">Столько сотрудник должен получить чистыми: 115 000 ₽ покрывают его фактические затраты, ещё 11 500 ₽ — дополнительная компенсация.</w:t>
      </w:r>
    </w:p>
    <w:p>
      <w:pPr>
        <w:spacing w:after="160" w:line="300"/>
      </w:pPr>
      <w:r>
        <w:rPr>
          <w:i/>
          <w:iCs/>
        </w:rPr>
        <w:t xml:space="preserve">10% — тоже не законодательная и не рыночная норма, а второй сценарный параметр модели.</w:t>
      </w:r>
    </w:p>
    <w:p>
      <w:pPr>
        <w:pStyle w:val="Heading3"/>
        <w:keepNext/>
        <w:spacing w:after="140" w:before="280"/>
      </w:pPr>
      <w:r>
        <w:t xml:space="preserve">3. Иностранный документ не бесполезен для бухгалтерии, но требует анализа</w:t>
      </w:r>
    </w:p>
    <w:p>
      <w:pPr>
        <w:spacing w:after="160" w:line="300"/>
      </w:pPr>
      <w:r>
        <w:t xml:space="preserve">Неверно утверждать, что иностранный электронный чек нельзя учесть просто потому, что он не является российским фискальным документом: универсального запрета такого рода налоговое законодательство не устанавливает. Расходы могут подтверждаться в том числе документами, оформленными по обычаям делового оборота иностранного государства, и документами, косвенно подтверждающими затраты.</w:t>
      </w:r>
    </w:p>
    <w:p>
      <w:pPr>
        <w:spacing w:after="160" w:line="300"/>
      </w:pPr>
      <w:r>
        <w:t xml:space="preserve">Но обратное тоже неверно: любого письма об оплате недостаточно. Бухгалтерии нужно установить, что расход понесён и связан с деятельностью организации, кто приобрёл продукт, на кого оформлено право использования, соответствует ли комплект документов требованиям учёта и нужен ли перевод на русский язык. Иностранный документ создаёт не запрет, а необходимость анализа конкретной операции. Какой комплект документов получает компания при покупке через российского поставщика, мы разбирали в материале про </w:t>
      </w:r>
      <w:hyperlink w:history="1" r:id="rId3nrue4-gxmzxinrjso0j_">
        <w:r>
          <w:rPr>
            <w:rStyle w:val="Hyperlink"/>
          </w:rPr>
          <w:t xml:space="preserve">закрывающие документы на ПО</w:t>
        </w:r>
      </w:hyperlink>
      <w:r>
        <w:rPr>
          <w:color w:val="767676"/>
          <w:sz w:val="18"/>
          <w:szCs w:val="18"/>
        </w:rPr>
        <w:t xml:space="preserve"> (https://biz-soft.pro/blog/zakryvayushchie-dokumenty-na-po)</w:t>
      </w:r>
      <w:r>
        <w:t xml:space="preserve">.</w:t>
      </w:r>
    </w:p>
    <w:p>
      <w:pPr>
        <w:pStyle w:val="Heading3"/>
        <w:keepNext/>
        <w:spacing w:after="140" w:before="280"/>
      </w:pPr>
      <w:r>
        <w:t xml:space="preserve">4. Возмещение расхода и премия — разные сценарии</w:t>
      </w:r>
    </w:p>
    <w:p>
      <w:pPr>
        <w:spacing w:after="160" w:line="300"/>
      </w:pPr>
      <w:r>
        <w:t xml:space="preserve">Ещё одно упрощение: «вернуть деньги сотруднику можно только премией». Как универсальное правило это неверно. Если сотрудник понёс согласованный расход в интересах работодателя и компания располагает достаточным комплектом подтверждающих документов, могут существовать основания оформить именно возмещение служебного расхода — тогда экономическая и налоговая картина будет одной.</w:t>
      </w:r>
    </w:p>
    <w:p>
      <w:pPr>
        <w:spacing w:after="160" w:line="300"/>
      </w:pPr>
      <w:r>
        <w:t xml:space="preserve">Но рассмотрим менее благоприятный сценарий: бухгалтерия приходит к выводу, что конкретную покупку нельзя надёжно оформить как возмещаемый расход, и компания компенсирует деньги через облагаемую выплату — например премию. Здесь экономика меняется резко.</w:t>
      </w:r>
    </w:p>
    <w:p>
      <w:pPr>
        <w:pStyle w:val="Heading3"/>
        <w:keepNext/>
        <w:spacing w:after="140" w:before="280"/>
      </w:pPr>
      <w:r>
        <w:t xml:space="preserve">5. Что происходит, если 126 500 ₽ возвращаются через премию</w:t>
      </w:r>
    </w:p>
    <w:p>
      <w:pPr>
        <w:spacing w:after="160" w:line="300"/>
      </w:pPr>
      <w:r>
        <w:t xml:space="preserve">Чистая сумма к получению — 126 500 ₽. Возьмём выплату, попадающую в диапазон НДФЛ 13%. Чтобы после удержания налога сотрудник получил эту сумму:</w:t>
      </w:r>
    </w:p>
    <w:p>
      <w:pPr>
        <w:spacing w:after="160" w:line="300"/>
      </w:pPr>
      <w:r>
        <w:rPr>
          <w:b/>
          <w:bCs/>
        </w:rPr>
        <w:t xml:space="preserve">126 500 ÷ 0,87 ≈ 145 402 ₽</w:t>
      </w:r>
      <w:r>
        <w:t xml:space="preserve"> — начисленная сумма.</w:t>
      </w:r>
    </w:p>
    <w:p>
      <w:pPr>
        <w:spacing w:after="160" w:line="300"/>
      </w:pPr>
      <w:r>
        <w:t xml:space="preserve">Страховые взносы работодателя при общем тарифе 30%:</w:t>
      </w:r>
    </w:p>
    <w:p>
      <w:pPr>
        <w:spacing w:after="160" w:line="300"/>
      </w:pPr>
      <w:r>
        <w:rPr>
          <w:b/>
          <w:bCs/>
        </w:rPr>
        <w:t xml:space="preserve">145 402 × 30% ≈ 43 621 ₽.</w:t>
      </w:r>
    </w:p>
    <w:p>
      <w:pPr>
        <w:spacing w:after="160" w:line="300"/>
      </w:pPr>
      <w:r>
        <w:t xml:space="preserve">Денежный расход работодателя:</w:t>
      </w:r>
    </w:p>
    <w:p>
      <w:pPr>
        <w:spacing w:after="160" w:line="300"/>
      </w:pPr>
      <w:r>
        <w:rPr>
          <w:b/>
          <w:bCs/>
        </w:rPr>
        <w:t xml:space="preserve">145 402 + 43 621 ≈ 189 023 ₽.</w:t>
      </w:r>
    </w:p>
    <w:p>
      <w:pPr>
        <w:spacing w:after="160" w:line="300"/>
      </w:pPr>
      <w:r>
        <w:t xml:space="preserve">Цена на сайте производителя — 100 000 ₽, денежный расход компании по этому сценарию — около 189 000 ₽, то есть примерно цена сайта × 1,89.</w:t>
      </w:r>
    </w:p>
    <w:p>
      <w:pPr>
        <w:spacing w:after="160" w:line="300"/>
      </w:pPr>
      <w:r>
        <w:t xml:space="preserve">Это не значит, что покупка через карту сотрудника всегда дороже на 89%. Это стресс-сценарий, где одновременно выполняются три условия: банковские и валютные расходы составляют 15%, компания дополнительно компенсирует 10%, а выплату приходится проводить как облагаемую. Нет любого из условий — результат другой.</w:t>
      </w:r>
    </w:p>
    <w:p>
      <w:pPr>
        <w:pStyle w:val="Heading3"/>
        <w:keepNext/>
        <w:spacing w:after="140" w:before="280"/>
      </w:pPr>
      <w:r>
        <w:t xml:space="preserve">6. НДФЛ нельзя считать одной ставкой для всех сотрудников</w:t>
      </w:r>
    </w:p>
    <w:p>
      <w:pPr>
        <w:spacing w:after="160" w:line="300"/>
      </w:pPr>
      <w:r>
        <w:t xml:space="preserve">Для основных доходов физических лиц действует прогрессивная шкала. Повышенная ставка применяется к соответствующей части дохода, превышающей установленный порог, а не ко всему годовому заработку. Поэтому реальный gross-up считается индивидуально для конкретного сотрудника, а ставка 13% в примере использована только для наглядности.</w:t>
      </w:r>
    </w:p>
    <w:p>
      <w:pPr>
        <w:pStyle w:val="Heading3"/>
        <w:keepNext/>
        <w:spacing w:after="140" w:before="280"/>
      </w:pPr>
      <w:r>
        <w:t xml:space="preserve">7. Страховые взносы зависят от накопленного дохода сотрудника</w:t>
      </w:r>
    </w:p>
    <w:p>
      <w:pPr>
        <w:spacing w:after="160" w:line="300"/>
      </w:pPr>
      <w:r>
        <w:t xml:space="preserve">Для основной категории работодателей действует общий тариф в пределах единой предельной базы и пониженный — с выплат сверх неё. Кроме того, для отдельных категорий работодателей предусмотрены специальные и льготные тарифы. Поэтому 30% в модели — базовый сценарий, а не универсальная стоимость любой выплаты.</w:t>
      </w:r>
    </w:p>
    <w:p>
      <w:pPr>
        <w:pStyle w:val="Heading3"/>
        <w:keepNext/>
        <w:spacing w:after="140" w:before="280"/>
      </w:pPr>
      <w:r>
        <w:t xml:space="preserve">8. Премия сама может уменьшать налог на прибыль</w:t>
      </w:r>
    </w:p>
    <w:p>
      <w:pPr>
        <w:spacing w:after="160" w:line="300"/>
      </w:pPr>
      <w:r>
        <w:t xml:space="preserve">Нельзя написать, что выплаченная премия вообще не уменьшает налог на прибыль: при соблюдении требований законодательства выплаты работникам и соответствующие страховые взносы могут признаваться расходами компании. Поэтому корректное сопоставление вариантов считает две величины отдельно: денежный отток и стоимость после налогового эффекта.</w:t>
      </w:r>
    </w:p>
    <w:p>
      <w:pPr>
        <w:spacing w:after="160" w:line="300"/>
      </w:pPr>
      <w:r>
        <w:t xml:space="preserve">В примере денежный отток — около 189 023 ₽. Если конкретная выплата квалифицирована как учитываемый расход на оплату труда и связанные страховые взносы также учитываются в расходах, то при ставке налога на прибыль 25% условная стоимость после эффекта составит:</w:t>
      </w:r>
    </w:p>
    <w:p>
      <w:pPr>
        <w:spacing w:after="160" w:line="300"/>
      </w:pPr>
      <w:r>
        <w:rPr>
          <w:b/>
          <w:bCs/>
        </w:rPr>
        <w:t xml:space="preserve">189 023 × 0,75 ≈ 141 767 ₽.</w:t>
      </w:r>
    </w:p>
    <w:p>
      <w:pPr>
        <w:spacing w:after="160" w:line="300"/>
      </w:pPr>
      <w:r>
        <w:t xml:space="preserve">Итого: цена производителя 100 000 ₽, денежный расход около 189 000 ₽, условная стоимость после эффекта по налогу на прибыль около 142 000 ₽.</w:t>
      </w:r>
    </w:p>
    <w:p>
      <w:pPr>
        <w:pStyle w:val="Heading3"/>
        <w:keepNext/>
        <w:spacing w:after="140" w:before="280"/>
      </w:pPr>
      <w:r>
        <w:t xml:space="preserve">9. Что происходит при покупке на юридическое лицо</w:t>
      </w:r>
    </w:p>
    <w:p>
      <w:pPr>
        <w:spacing w:after="160" w:line="300"/>
      </w:pPr>
      <w:r>
        <w:t xml:space="preserve">Другой сценарий: российский поставщик продаёт организации тот же продукт, компания получает документы на юридическое лицо, покупка входит в корпоративный документооборот.</w:t>
      </w:r>
    </w:p>
    <w:p>
      <w:pPr>
        <w:spacing w:after="160" w:line="300"/>
      </w:pPr>
      <w:r>
        <w:t xml:space="preserve">Предположим — исключительно для сравнения, — что цена тоже 100 000 ₽, включая НДС 5%. Тогда НДС ≈ 4 762 ₽, стоимость без НДС ≈ 95 238 ₽.</w:t>
      </w:r>
    </w:p>
    <w:p>
      <w:pPr>
        <w:spacing w:after="160" w:line="300"/>
      </w:pPr>
      <w:r>
        <w:t xml:space="preserve">Если покупатель применяет ОСНО, использует приобретение в облагаемой НДС деятельности, располагает счётом-фактурой или УПД с выделенным НДС и выполняет иные условия ст. 171–172 НК РФ, предъявленный налог может быть принят к вычету. Специальная ставка НДС у поставщика на УСН сама по себе не лишает покупателя на ОСНО этого права.</w:t>
      </w:r>
    </w:p>
    <w:p>
      <w:pPr>
        <w:spacing w:after="160" w:line="300"/>
      </w:pPr>
      <w:r>
        <w:t xml:space="preserve">Если 95 238 ₽ признаются обоснованным и документально подтверждённым расходом, при ставке налога на прибыль 25% эффект составит ≈ 23 810 ₽. Условная стоимость покупки после налоговых эффектов:</w:t>
      </w:r>
    </w:p>
    <w:p>
      <w:pPr>
        <w:spacing w:after="160" w:line="300"/>
      </w:pPr>
      <w:r>
        <w:rPr>
          <w:b/>
          <w:bCs/>
        </w:rPr>
        <w:t xml:space="preserve">100 000 − 4 762 − 23 810 ≈ 71 429 ₽.</w:t>
      </w:r>
    </w:p>
    <w:p>
      <w:pPr>
        <w:spacing w:after="160" w:line="300"/>
      </w:pPr>
      <w:r>
        <w:t xml:space="preserve">Это не означает, что компания «заработала» 28 571 ₽: поставщику всё равно перечислено 100 000 ₽. 71 429 ₽ — расчётная стоимость после уменьшения соответствующих налоговых обязательств при выполнении всех условий.</w:t>
      </w:r>
    </w:p>
    <w:p>
      <w:pPr>
        <w:spacing w:after="160" w:line="300"/>
      </w:pPr>
      <w:r>
        <w:t xml:space="preserve">Как устроено оформление покупки на организацию — договор, счёт в рублях, передача доступа и закрывающие документы — мы </w:t>
      </w:r>
      <w:hyperlink w:history="1" r:id="rIdvrtro6tirtgfv9i7bmisb">
        <w:r>
          <w:rPr>
            <w:rStyle w:val="Hyperlink"/>
          </w:rPr>
          <w:t xml:space="preserve">разбирали пошагово</w:t>
        </w:r>
      </w:hyperlink>
      <w:r>
        <w:rPr>
          <w:color w:val="767676"/>
          <w:sz w:val="18"/>
          <w:szCs w:val="18"/>
        </w:rPr>
        <w:t xml:space="preserve"> (https://biz-soft.pro/blog/kak-kupit-zarubezhnoe-po-dlya-yurlica)</w:t>
      </w:r>
      <w:r>
        <w:t xml:space="preserve">.</w:t>
      </w:r>
    </w:p>
    <w:p>
      <w:pPr>
        <w:pStyle w:val="Heading3"/>
        <w:keepNext/>
        <w:spacing w:after="140" w:before="280"/>
      </w:pPr>
      <w:r>
        <w:t xml:space="preserve">10. Сравнение двух одинаковых ценников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71"/>
        <w:gridCol w:w="2910"/>
        <w:gridCol w:w="3519"/>
      </w:tblGrid>
      <w:tr>
        <w:trPr>
          <w:tblHeader/>
        </w:trPr>
        <w:tc>
          <w:tcPr>
            <w:tcW w:type="dxa" w:w="2571"/>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0" w:line="260"/>
            </w:pPr>
            <w:r>
              <w:rPr>
                <w:b/>
                <w:bCs/>
                <w:sz w:val="19"/>
                <w:szCs w:val="19"/>
              </w:rPr>
              <w:t xml:space="preserve">Шаг</w:t>
            </w:r>
          </w:p>
        </w:tc>
        <w:tc>
          <w:tcPr>
            <w:tcW w:type="dxa" w:w="2910"/>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0" w:line="260"/>
            </w:pPr>
            <w:r>
              <w:rPr>
                <w:b/>
                <w:bCs/>
                <w:sz w:val="19"/>
                <w:szCs w:val="19"/>
              </w:rPr>
              <w:t xml:space="preserve">Сценарий А: личная карта + стресс-допущения</w:t>
            </w:r>
          </w:p>
        </w:tc>
        <w:tc>
          <w:tcPr>
            <w:tcW w:type="dxa" w:w="3519"/>
            <w:tcBorders>
              <w:top w:val="single" w:color="D9D9D9" w:sz="4"/>
              <w:left w:val="single" w:color="D9D9D9" w:sz="4"/>
              <w:bottom w:val="single" w:color="D9D9D9" w:sz="4"/>
              <w:right w:val="single" w:color="D9D9D9" w:sz="4"/>
            </w:tcBorders>
            <w:shd w:fill="F2F2F2" w:color="auto" w:val="clear"/>
            <w:tcMar>
              <w:top w:type="dxa" w:w="60"/>
              <w:left w:type="dxa" w:w="90"/>
              <w:bottom w:type="dxa" w:w="60"/>
              <w:right w:type="dxa" w:w="90"/>
            </w:tcMar>
          </w:tcPr>
          <w:p>
            <w:pPr>
              <w:spacing w:after="0" w:line="260"/>
            </w:pPr>
            <w:r>
              <w:rPr>
                <w:b/>
                <w:bCs/>
                <w:sz w:val="19"/>
                <w:szCs w:val="19"/>
              </w:rPr>
              <w:t xml:space="preserve">Сценарий Б: покупка у российского поставщика на ОСНО</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Цена</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100 000 ₽</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100 000 ₽ с НДС 5%</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Банковские и валютные расходы 15%</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115 000 ₽</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Дополнительная компенсация 10%</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126 500 ₽ чистыми</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Gross-up при НДФЛ 13%</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145 402 ₽</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Страховые взносы 30%</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43 621 ₽</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НДС к вычету</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4 762 ₽</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Денежный отток</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189 023 ₽</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100 000 ₽</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Эффект налога на прибыль 25%</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47 256 ₽</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23 810 ₽</w:t>
            </w:r>
          </w:p>
        </w:tc>
      </w:tr>
      <w:tr>
        <w:trPr>
          <w:tblHeader w:val="false"/>
        </w:trPr>
        <w:tc>
          <w:tcPr>
            <w:tcW w:type="dxa" w:w="2571"/>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Стоимость после налоговых эффектов</w:t>
            </w:r>
          </w:p>
        </w:tc>
        <w:tc>
          <w:tcPr>
            <w:tcW w:type="dxa" w:w="2910"/>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141 767 ₽</w:t>
            </w:r>
          </w:p>
        </w:tc>
        <w:tc>
          <w:tcPr>
            <w:tcW w:type="dxa" w:w="3519"/>
            <w:tcBorders>
              <w:top w:val="single" w:color="D9D9D9" w:sz="4"/>
              <w:left w:val="single" w:color="D9D9D9" w:sz="4"/>
              <w:bottom w:val="single" w:color="D9D9D9" w:sz="4"/>
              <w:right w:val="single" w:color="D9D9D9" w:sz="4"/>
            </w:tcBorders>
            <w:tcMar>
              <w:top w:type="dxa" w:w="60"/>
              <w:left w:type="dxa" w:w="90"/>
              <w:bottom w:type="dxa" w:w="60"/>
              <w:right w:type="dxa" w:w="90"/>
            </w:tcMar>
          </w:tcPr>
          <w:p>
            <w:pPr>
              <w:spacing w:after="0" w:line="260"/>
            </w:pPr>
            <w:r>
              <w:rPr>
                <w:sz w:val="19"/>
                <w:szCs w:val="19"/>
              </w:rPr>
              <w:t xml:space="preserve">≈ 71 429 ₽</w:t>
            </w:r>
          </w:p>
        </w:tc>
      </w:tr>
    </w:tbl>
    <w:p>
      <w:pPr>
        <w:spacing w:after="160"/>
      </w:pPr>
    </w:p>
    <w:p>
      <w:pPr>
        <w:spacing w:after="160" w:line="300"/>
      </w:pPr>
      <w:r>
        <w:rPr>
          <w:b/>
          <w:bCs/>
        </w:rPr>
        <w:t xml:space="preserve">Таблица сравнивает не два универсальных способа покупки, а два конкретных расчётных сценария. Изменение любого параметра меняет результат.</w:t>
      </w:r>
    </w:p>
    <w:p>
      <w:pPr>
        <w:spacing w:after="160" w:line="300"/>
      </w:pPr>
      <w:r>
        <w:t xml:space="preserve">Формулировка, которая корректно описывает этот расчёт: в стресс-сценарии, где к цене продукта добавляются 15% транзакционных расходов, 10% дополнительной компенсации сотруднику, а выплата проводится через облагаемую премию, совокупная стоимость может оказаться почти вдвое выше исходного ценника. Это не характеристика всех покупок через карту сотрудника, а верхний расчётный сценарий.</w:t>
      </w:r>
    </w:p>
    <w:p>
      <w:pPr>
        <w:spacing w:after="160" w:line="300"/>
      </w:pPr>
      <w:r>
        <w:t xml:space="preserve">Две причины, по которым разницу нельзя переносить на другие случаи.</w:t>
      </w:r>
    </w:p>
    <w:p>
      <w:pPr>
        <w:spacing w:after="160" w:line="300"/>
      </w:pPr>
      <w:r>
        <w:rPr>
          <w:b/>
          <w:bCs/>
        </w:rPr>
        <w:t xml:space="preserve">Наборы не идентичны.</w:t>
      </w:r>
      <w:r>
        <w:t xml:space="preserve"> В сценарии А сотрудник дополнительно получает 11 500 ₽ компенсации за использование личной инфраструктуры — в сценарии Б этой выплаты нет вовсе. Часть разницы — не потери компании, а деньги, полученные сотрудником.</w:t>
      </w:r>
    </w:p>
    <w:p>
      <w:pPr>
        <w:spacing w:after="160" w:line="300"/>
      </w:pPr>
      <w:r>
        <w:rPr>
          <w:b/>
          <w:bCs/>
        </w:rPr>
        <w:t xml:space="preserve">Параметры заданы, а не измерены.</w:t>
      </w:r>
      <w:r>
        <w:t xml:space="preserve"> Если сотрудник уже имеет нужную валюту на зарубежном счёте, не несёт 15% расходов, не получает дополнительную компенсацию, а покупка корректно оформляется как служебный расход без зарплатной выплаты — разница сокращается радикально, вплоть до обратного результата.</w:t>
      </w:r>
    </w:p>
    <w:p>
      <w:pPr>
        <w:pStyle w:val="Heading3"/>
        <w:keepNext/>
        <w:spacing w:after="140" w:before="280"/>
      </w:pPr>
      <w:r>
        <w:t xml:space="preserve">Почему 100 000 ₽ у производителя и 110 000 ₽ у поставщика — ещё не сравнение</w:t>
      </w:r>
    </w:p>
    <w:p>
      <w:pPr>
        <w:spacing w:after="160" w:line="300"/>
      </w:pPr>
      <w:r>
        <w:t xml:space="preserve">Поставщик дороже на 10% — но только по ценнику. Для юридического лица к первой цифре добавляются все элементы совокупной стоимости, перечисленные выше: транзакционные расходы, способ возмещения сотруднику, налоговые последствия модели, документы, НДС и право на вычет, администрирование, риск простоя и контроль аккаунта. Сопоставимыми две цены становятся только после этого.</w:t>
      </w:r>
    </w:p>
    <w:p>
      <w:pPr>
        <w:pStyle w:val="Heading3"/>
        <w:keepNext/>
        <w:spacing w:after="140" w:before="280"/>
      </w:pPr>
      <w:r>
        <w:t xml:space="preserve">11. Компания может потерять контроль над рабочим аккаунтом</w:t>
      </w:r>
    </w:p>
    <w:p>
      <w:pPr>
        <w:spacing w:after="160" w:line="300"/>
      </w:pPr>
      <w:r>
        <w:t xml:space="preserve">Финансовая часть — не единственная. Дизайнер несколько лет работает в персональном аккаунте, где накопились проекты, шаблоны, настройки, история, облачные файлы и AI-контекст. Сотрудник увольняется — и выясняется, что аккаунт связан с его личной почтой, телефоном и двухфакторной аутентификацией. Дальше всё зависит от сервиса: где-то владельца можно заменить, где-то данные переносятся, где-то потребуется поддержка, а где-то персональная лицензия передачу не предусматривает вовсе. Это второй компонент стоимости — риск потери доступа.</w:t>
      </w:r>
    </w:p>
    <w:p>
      <w:pPr>
        <w:pStyle w:val="Heading3"/>
        <w:keepNext/>
        <w:spacing w:after="140" w:before="280"/>
      </w:pPr>
      <w:r>
        <w:t xml:space="preserve">12. Сбой оплаты может стоить дороже подписки</w:t>
      </w:r>
    </w:p>
    <w:p>
      <w:pPr>
        <w:spacing w:after="160" w:line="300"/>
      </w:pPr>
      <w:r>
        <w:t xml:space="preserve">Даже дешёвый сервис бывает критичным. Если без него перестают работать несколько человек, стоимость простоя считается так:</w:t>
      </w:r>
    </w:p>
    <w:p>
      <w:pPr>
        <w:spacing w:after="160" w:line="300"/>
      </w:pPr>
      <w:r>
        <w:rPr>
          <w:b/>
          <w:bCs/>
        </w:rPr>
        <w:t xml:space="preserve">число затронутых сотрудников × средняя стоимость рабочего дня одного сотрудника × количество дней простоя.</w:t>
      </w:r>
    </w:p>
    <w:p>
      <w:pPr>
        <w:spacing w:after="160" w:line="300"/>
      </w:pPr>
      <w:r>
        <w:t xml:space="preserve">Сервис за 20 000 ₽ в год может оказаться экономически критичнее продукта за 200 000 ₽, если от него ежедневно зависит целое подразделение.</w:t>
      </w:r>
    </w:p>
    <w:p>
      <w:pPr>
        <w:pStyle w:val="Heading3"/>
        <w:keepNext/>
        <w:spacing w:after="140" w:before="280"/>
      </w:pPr>
      <w:r>
        <w:t xml:space="preserve">13. Децентрализованные подписки перестают быть видимыми</w:t>
      </w:r>
    </w:p>
    <w:p>
      <w:pPr>
        <w:spacing w:after="160" w:line="300"/>
      </w:pPr>
      <w:r>
        <w:t xml:space="preserve">Один сотрудник оплачивает сервис для дизайна, другой покупает альтернативный инструмент для той же задачи, третий продлевает продукт, которым команда почти не пользуется. По отдельности платежи небольшие — и через год финансовый или IT-отдел уже не может быстро ответить: сколько подписок оплачивается, кто ими пользуется, что дублируется, что можно отключить и кто отвечает за продление.</w:t>
      </w:r>
    </w:p>
    <w:p>
      <w:pPr>
        <w:spacing w:after="160" w:line="300"/>
      </w:pPr>
      <w:r>
        <w:t xml:space="preserve">Самая простая экономия часто не в скидке поставщика, а в лицензии, которую компания перестаёт покупать вовсе.</w:t>
      </w:r>
    </w:p>
    <w:p>
      <w:pPr>
        <w:spacing w:after="160" w:line="300"/>
      </w:pPr>
      <w:r>
        <w:t xml:space="preserve">Когда число лицензий начинает измеряться десятками, проблема перестаёт быть только закупочной. Возникает отдельная задача — управление программными активами, Software Asset Management: инвентаризация, контроль фактического использования лицензий, продления, поиск дублирования и соответствие условиям лицензирования.</w:t>
      </w:r>
    </w:p>
    <w:p>
      <w:pPr>
        <w:pStyle w:val="Heading3"/>
        <w:keepNext/>
        <w:spacing w:after="140" w:before="280"/>
      </w:pPr>
      <w:r>
        <w:t xml:space="preserve">Как провести аудит подписок</w:t>
      </w:r>
    </w:p>
    <w:p>
      <w:pPr>
        <w:spacing w:after="160" w:line="300"/>
      </w:pPr>
      <w:r>
        <w:t xml:space="preserve">Консультанты и специальная SAM-система для первичной проверки не нужны. Соберите таблицу, где по каждой подписке указано:</w:t>
      </w:r>
    </w:p>
    <w:p>
      <w:pPr>
        <w:spacing w:after="160" w:line="300"/>
      </w:pPr>
      <w:r>
        <w:rPr>
          <w:b/>
          <w:bCs/>
        </w:rPr>
        <w:t xml:space="preserve">сервис → пользователь → стоимость → валюта → способ оплаты → владелец аккаунта → лицо, на которое оформлена лицензия → тип тарифа → возможность переназначения → наличие документов → критичность → дата продления → автопродление.</w:t>
      </w:r>
    </w:p>
    <w:p>
      <w:pPr>
        <w:spacing w:after="160" w:line="300"/>
      </w:pPr>
      <w:r>
        <w:t xml:space="preserve">Затем разделите продукты на три группы.</w:t>
      </w:r>
    </w:p>
    <w:p>
      <w:pPr>
        <w:spacing w:after="160" w:line="300"/>
      </w:pPr>
      <w:r>
        <w:rPr>
          <w:b/>
          <w:bCs/>
        </w:rPr>
        <w:t xml:space="preserve">Зелёная зона.</w:t>
      </w:r>
      <w:r>
        <w:t xml:space="preserve"> Один пользователь, небольшая сумма, некритичные данные, сервис легко заменить, простой почти ничего не стоит. Такую подписку необязательно срочно переводить в корпоративный контур.</w:t>
      </w:r>
    </w:p>
    <w:p>
      <w:pPr>
        <w:spacing w:after="160" w:line="300"/>
      </w:pPr>
      <w:r>
        <w:rPr>
          <w:b/>
          <w:bCs/>
        </w:rPr>
        <w:t xml:space="preserve">Жёлтая зона.</w:t>
      </w:r>
      <w:r>
        <w:t xml:space="preserve"> Сервис используется регулярно, стоимость заметна, есть рабочие данные, аккаунтом владеет конкретный сотрудник. Здесь нужно проверить условия лицензии, документы и механизм передачи доступа.</w:t>
      </w:r>
    </w:p>
    <w:p>
      <w:pPr>
        <w:spacing w:after="160" w:line="300"/>
      </w:pPr>
      <w:r>
        <w:rPr>
          <w:b/>
          <w:bCs/>
        </w:rPr>
        <w:t xml:space="preserve">Красная зона.</w:t>
      </w:r>
      <w:r>
        <w:t xml:space="preserve"> Несколько пользователей, критичные данные, существенные расходы, персональный аккаунт одного человека, нет централизованного контроля, высокая стоимость простоя. Эти сервисы централизуют в первую очередь.</w:t>
      </w:r>
    </w:p>
    <w:p>
      <w:pPr>
        <w:pStyle w:val="Heading3"/>
        <w:keepNext/>
        <w:spacing w:after="140" w:before="280"/>
      </w:pPr>
      <w:r>
        <w:t xml:space="preserve">Когда корпоративная покупка не нужна</w:t>
      </w:r>
    </w:p>
    <w:p>
      <w:pPr>
        <w:spacing w:after="160" w:line="300"/>
      </w:pPr>
      <w:r>
        <w:t xml:space="preserve">Переводить каждую персональную подписку на компанию — другая крайность. Корпоративный тариф иногда дороже, у части продуктов есть минимальное число пользователей, документооборот занимает время, а поставщик включает в цену свою работу. Если продуктом пользуется один сотрудник, стоимость невелика, данные некритичны, аккаунт легко передать, простой не влияет на бизнес, а покупка и компенсация корректно документируются — существующая схема может быть вполне рациональной.</w:t>
      </w:r>
    </w:p>
    <w:p>
      <w:pPr>
        <w:spacing w:after="160" w:line="300"/>
      </w:pPr>
      <w:r>
        <w:t xml:space="preserve">Корпоративная модель становится важной при появлении хотя бы одного из трёх факторов: </w:t>
      </w:r>
      <w:r>
        <w:rPr>
          <w:b/>
          <w:bCs/>
        </w:rPr>
        <w:t xml:space="preserve">существенные деньги, критичный доступ, несколько пользователей.</w:t>
      </w:r>
    </w:p>
    <w:p>
      <w:pPr>
        <w:pStyle w:val="Heading3"/>
        <w:keepNext/>
        <w:spacing w:after="140" w:before="280"/>
      </w:pPr>
      <w:r>
        <w:t xml:space="preserve">Выводы</w:t>
      </w:r>
    </w:p>
    <w:p>
      <w:pPr>
        <w:spacing w:after="160" w:line="300"/>
      </w:pPr>
      <w:r>
        <w:rPr>
          <w:b/>
          <w:bCs/>
        </w:rPr>
        <w:t xml:space="preserve">1. Считайте полную стоимость приобретения.</w:t>
      </w:r>
      <w:r>
        <w:t xml:space="preserve"> Цена на сайте производителя — только один элемент расходов. Сравнивать нужно не «цену на сайте» и «цену поставщика», а совокупную стоимость двух способов приобретения при одинаковом бизнес-результате.</w:t>
      </w:r>
    </w:p>
    <w:p>
      <w:pPr>
        <w:spacing w:after="160" w:line="300"/>
      </w:pPr>
      <w:r>
        <w:rPr>
          <w:b/>
          <w:bCs/>
        </w:rPr>
        <w:t xml:space="preserve">2. Оценивайте не только деньги, но и риски.</w:t>
      </w:r>
      <w:r>
        <w:t xml:space="preserve"> Перед покупкой стоит определить: кто будет лицензиатом, кто контролирует аккаунт, где хранятся рабочие данные, можно ли передать лицензию, что произойдёт при увольнении сотрудника, сколько человек зависит от сервиса, насколько критичен простой и какие документы получает компания.</w:t>
      </w:r>
    </w:p>
    <w:p>
      <w:pPr>
        <w:spacing w:after="160" w:line="300"/>
      </w:pPr>
      <w:r>
        <w:t xml:space="preserve">Для одной недорогой некритичной подписки личная карта может быть нормальным решением. Для продукта, на котором завязаны данные, несколько сотрудников или ключевой бизнес-процесс, схема закупки должна быть другой.</w:t>
      </w:r>
    </w:p>
    <w:p>
      <w:pPr>
        <w:spacing w:after="160" w:line="300"/>
      </w:pPr>
      <w:r>
        <w:rPr>
          <w:b/>
          <w:bCs/>
        </w:rPr>
        <w:t xml:space="preserve">3. Управляйте подписками как программными активами.</w:t>
      </w:r>
      <w:r>
        <w:t xml:space="preserve"> Пять подписок ещё контролируются в таблице. Когда их десятки, нужен централизованный учёт: какие лицензии приобретены, кто ими пользуется, когда заканчиваются подписки, какие простаивают, какие продукты дублируют друг друга и сколько компания реально тратит на программные активы. Это и есть задача SAM-контура, описанная выше.</w:t>
      </w:r>
    </w:p>
    <w:p>
      <w:pPr>
        <w:spacing w:after="160" w:line="300"/>
      </w:pPr>
      <w:r>
        <w:rPr>
          <w:b/>
          <w:bCs/>
        </w:rPr>
        <w:t xml:space="preserve">4. Закрепите сам процесс закупки.</w:t>
      </w:r>
      <w:r>
        <w:t xml:space="preserve"> Даже хорошая SAM-система не решит проблему, если сервисы покупаются хаотично. В компании нужен простой регламент: кто может инициировать покупку, кто согласует новый сервис, кто проверяет тип лицензии, кто выбирает способ оплаты, кто хранит документы, кто отвечает за продление, кто отключает ненужные лицензии и кто проводит периодический аудит.</w:t>
      </w:r>
    </w:p>
    <w:p>
      <w:pPr>
        <w:spacing w:after="160" w:line="300"/>
      </w:pPr>
      <w:r>
        <w:t xml:space="preserve">Минимальная зрелая схема выглядит так:</w:t>
      </w:r>
    </w:p>
    <w:p>
      <w:pPr>
        <w:spacing w:after="160" w:line="300"/>
      </w:pPr>
      <w:r>
        <w:rPr>
          <w:b/>
          <w:bCs/>
        </w:rPr>
        <w:t xml:space="preserve">потребность → согласование → проверка лицензии → правильный способ закупки → учёт → контроль использования → продление или отключение.</w:t>
      </w:r>
    </w:p>
    <w:p>
      <w:pPr>
        <w:spacing w:after="160" w:line="300"/>
      </w:pPr>
      <w:r>
        <w:t xml:space="preserve">Это уже не вопрос «как оплатить подписку». Это управление программными активами компании.</w:t>
      </w:r>
    </w:p>
    <w:p>
      <w:pPr>
        <w:pStyle w:val="Heading3"/>
        <w:keepNext/>
        <w:spacing w:after="140" w:before="280"/>
      </w:pPr>
      <w:r>
        <w:t xml:space="preserve">Главное</w:t>
      </w:r>
    </w:p>
    <w:p>
      <w:pPr>
        <w:spacing w:after="160" w:line="300"/>
      </w:pPr>
      <w:r>
        <w:rPr>
          <w:b/>
          <w:bCs/>
        </w:rPr>
        <w:t xml:space="preserve">Цена на сайте производителя и стоимость владения программным продуктом для компании — не одно и то же. Считать нужно весь сценарий: оплату, документы, налоги, доступ, простой и дальнейшее управление лицензией.</w:t>
      </w:r>
    </w:p>
    <w:p>
      <w:pPr>
        <w:spacing w:after="160" w:line="300"/>
      </w:pPr>
      <w:r>
        <w:t xml:space="preserve">Правильная закупка ПО — это сочетание трёх вещей: понятная экономика, управляемый доступ и централизованный учёт. Личная карта сотрудника иногда остаётся нормальным инструментом. Но чем больше стоимость, число пользователей и критичность сервиса, тем важнее переводить покупку из личной инициативы сотрудника в управляемый корпоративный процесс.</w:t>
      </w:r>
    </w:p>
    <w:p>
      <w:pPr>
        <w:spacing w:after="160" w:line="300"/>
      </w:pPr>
      <w:r>
        <w:rPr>
          <w:b/>
          <w:bCs/>
        </w:rPr>
        <w:t xml:space="preserve">А как это устроено у вас: зарубежные подписки централизованы или часть сервисов сотрудники до сих пор оплачивают самостоятельно? Если переводили на корпоративную схему — что оказалось сложнее: платежи, документы, перенос аккаунтов или согласование с бухгалтерией?</w:t>
      </w:r>
    </w:p>
    <w:p>
      <w:pPr>
        <w:spacing w:after="160" w:line="300"/>
      </w:pPr>
      <w:r>
        <w:rPr>
          <w:i/>
          <w:iCs/>
        </w:rPr>
        <w:t xml:space="preserve">[BIZSoft](https://biz-soft.pro/) помогает российским компаниям приобретать зарубежное ПО, SaaS и AI-сервисы с учётом лицензирования, способа оплаты, корпоративного доступа и документооборота.</w:t>
      </w:r>
    </w:p>
    <w:p>
      <w:pPr>
        <w:pStyle w:val="Heading2"/>
        <w:keepNext/>
        <w:spacing w:after="140" w:before="280"/>
      </w:pPr>
      <w:r>
        <w:t xml:space="preserve">ПРИМЕЧАНИЯ ДЛЯ ВНЕШНЕГО АУДИТА (перед публикацией удалить)</w:t>
      </w:r>
    </w:p>
    <w:p>
      <w:pPr>
        <w:pStyle w:val="Heading3"/>
        <w:keepNext/>
        <w:spacing w:after="140" w:before="280"/>
      </w:pPr>
      <w:r>
        <w:t xml:space="preserve">От заказчика</w:t>
      </w:r>
    </w:p>
    <w:p>
      <w:pPr>
        <w:pStyle w:val="ListParagraph"/>
        <w:numPr>
          <w:ilvl w:val="0"/>
          <w:numId w:val="2"/>
        </w:numPr>
        <w:spacing w:after="80" w:line="300"/>
      </w:pPr>
      <w:r>
        <w:rPr>
          <w:b/>
          <w:bCs/>
        </w:rPr>
        <w:t xml:space="preserve">Гражданское право / лицензии.</w:t>
      </w:r>
      <w:r>
        <w:t xml:space="preserve"> Проверить тезис о том, что способ оплаты сам по себе не определяет лицензиата, а значение имеют сторона пользовательского или лицензионного соглашения и условия конкретного продукта. Ориентир: ст. 1235 ГК РФ и нормы об использовании программ для ЭВМ.</w:t>
      </w:r>
    </w:p>
    <w:p>
      <w:pPr>
        <w:pStyle w:val="ListParagraph"/>
        <w:numPr>
          <w:ilvl w:val="0"/>
          <w:numId w:val="2"/>
        </w:numPr>
        <w:spacing w:after="80" w:line="300"/>
      </w:pPr>
      <w:r>
        <w:rPr>
          <w:b/>
          <w:bCs/>
        </w:rPr>
        <w:t xml:space="preserve">Документы и иностранные receipt / invoice.</w:t>
      </w:r>
      <w:r>
        <w:t xml:space="preserve"> Проверить блок о том, что отсутствие российского кассового чека, УПД или накладной само по себе не означает невозможность признания расхода. Ориентир: п. 1 ст. 252 НК РФ. Отдельно — требования к переводу документов на русский язык.</w:t>
      </w:r>
    </w:p>
    <w:p>
      <w:pPr>
        <w:pStyle w:val="ListParagraph"/>
        <w:numPr>
          <w:ilvl w:val="0"/>
          <w:numId w:val="2"/>
        </w:numPr>
        <w:spacing w:after="80" w:line="300"/>
      </w:pPr>
      <w:r>
        <w:rPr>
          <w:b/>
          <w:bCs/>
        </w:rPr>
        <w:t xml:space="preserve">Возмещение сотруднику.</w:t>
      </w:r>
      <w:r>
        <w:t xml:space="preserve"> Проверить границу между возмещением документально подтверждённых расходов, понесённых в интересах работодателя, и облагаемой выплатой. В статье намеренно не утверждается, что любая компенсация автоматически является зарплатой.</w:t>
      </w:r>
    </w:p>
    <w:p>
      <w:pPr>
        <w:pStyle w:val="ListParagraph"/>
        <w:numPr>
          <w:ilvl w:val="0"/>
          <w:numId w:val="2"/>
        </w:numPr>
        <w:spacing w:after="80" w:line="300"/>
      </w:pPr>
      <w:r>
        <w:rPr>
          <w:b/>
          <w:bCs/>
        </w:rPr>
        <w:t xml:space="preserve">НДФЛ.</w:t>
      </w:r>
      <w:r>
        <w:t xml:space="preserve"> Использована прогрессивная шкала основных доходов (13 / 15 / 18 / 20 / 22%). Проверить корректность gross-up и оговорки о применении повышенных ставок к соответствующей части базы.</w:t>
      </w:r>
    </w:p>
    <w:p>
      <w:pPr>
        <w:pStyle w:val="ListParagraph"/>
        <w:numPr>
          <w:ilvl w:val="0"/>
          <w:numId w:val="2"/>
        </w:numPr>
        <w:spacing w:after="80" w:line="300"/>
      </w:pPr>
      <w:r>
        <w:rPr>
          <w:b/>
          <w:bCs/>
        </w:rPr>
        <w:t xml:space="preserve">Страховые взносы.</w:t>
      </w:r>
      <w:r>
        <w:t xml:space="preserve"> Использованы 30% в пределах единой предельной базы и 15,1% сверх неё; предельная база 2026 года — 2 979 000 ₽. Проверить, достаточно ли оговорки о специальных и льготных тарифах.</w:t>
      </w:r>
    </w:p>
    <w:p>
      <w:pPr>
        <w:pStyle w:val="ListParagraph"/>
        <w:numPr>
          <w:ilvl w:val="0"/>
          <w:numId w:val="2"/>
        </w:numPr>
        <w:spacing w:after="80" w:line="300"/>
      </w:pPr>
      <w:r>
        <w:rPr>
          <w:b/>
          <w:bCs/>
        </w:rPr>
        <w:t xml:space="preserve">Налог на прибыль.</w:t>
      </w:r>
      <w:r>
        <w:t xml:space="preserve"> Использована общая ставка 25%. Проверить тезис о возможности признания расходов на оплату труда и связанных взносов.</w:t>
      </w:r>
    </w:p>
    <w:p>
      <w:pPr>
        <w:pStyle w:val="ListParagraph"/>
        <w:numPr>
          <w:ilvl w:val="0"/>
          <w:numId w:val="2"/>
        </w:numPr>
        <w:spacing w:after="80" w:line="300"/>
      </w:pPr>
      <w:r>
        <w:rPr>
          <w:b/>
          <w:bCs/>
        </w:rPr>
        <w:t xml:space="preserve">НДС 5%.</w:t>
      </w:r>
      <w:r>
        <w:t xml:space="preserve"> Проверить модель (100 000 ₽ с НДС 5%; НДС 4 761,90 ₽; без НДС 95 238,10 ₽) и формулировку о праве покупателя на ОСНО принять к вычету НДС, предъявленный поставщиком на УСН, при соблюдении условий ст. 171–172 НК РФ.</w:t>
      </w:r>
    </w:p>
    <w:p>
      <w:pPr>
        <w:pStyle w:val="ListParagraph"/>
        <w:numPr>
          <w:ilvl w:val="0"/>
          <w:numId w:val="2"/>
        </w:numPr>
        <w:spacing w:after="80" w:line="300"/>
      </w:pPr>
      <w:r>
        <w:rPr>
          <w:b/>
          <w:bCs/>
        </w:rPr>
        <w:t xml:space="preserve">Расчётные, а не нормативные параметры.</w:t>
      </w:r>
      <w:r>
        <w:t xml:space="preserve"> 15% (банковские, переводные и валютные расходы) и 10% (дополнительная компенсация сотруднику) введены только для стресс-сценария. Достаточно ли явно это обозначено, чтобы читатель не принял их за отраслевую статистику.</w:t>
      </w:r>
    </w:p>
    <w:p>
      <w:pPr>
        <w:pStyle w:val="ListParagraph"/>
        <w:numPr>
          <w:ilvl w:val="0"/>
          <w:numId w:val="2"/>
        </w:numPr>
        <w:spacing w:after="80" w:line="300"/>
      </w:pPr>
      <w:r>
        <w:rPr>
          <w:b/>
          <w:bCs/>
        </w:rPr>
        <w:t xml:space="preserve">Маркетинговое утверждение.</w:t>
      </w:r>
      <w:r>
        <w:t xml:space="preserve"> Формулировка «экономия до 50%» сознательно не используется; 49,6% относится к одному смоделированному сценарию. Не создаёт ли даже приведённое сравнение риск восприятия как гарантированной выгоды.</w:t>
      </w:r>
    </w:p>
    <w:p>
      <w:pPr>
        <w:pStyle w:val="ListParagraph"/>
        <w:numPr>
          <w:ilvl w:val="0"/>
          <w:numId w:val="2"/>
        </w:numPr>
        <w:spacing w:after="80" w:line="300"/>
      </w:pPr>
      <w:r>
        <w:rPr>
          <w:b/>
          <w:bCs/>
        </w:rPr>
        <w:t xml:space="preserve">Итоговая задача.</w:t>
      </w:r>
      <w:r>
        <w:t xml:space="preserve"> Материал должен быть юридически корректным, не являться налоговой консультацией, быть полезным финансовому директору и бухгалтеру, понятным руководителю, показывать позицию сотрудника, не создавать впечатления, что покупка через российского поставщика всегда выгоднее, и позволять читателю посчитать собственный сценарий.</w:t>
      </w:r>
    </w:p>
    <w:p>
      <w:pPr>
        <w:pStyle w:val="Heading3"/>
        <w:keepNext/>
        <w:spacing w:after="140" w:before="280"/>
      </w:pPr>
      <w:r>
        <w:t xml:space="preserve">Добавлено при редактуре — прошу проверить дополнительно</w:t>
      </w:r>
    </w:p>
    <w:p>
      <w:pPr>
        <w:pStyle w:val="ListParagraph"/>
        <w:numPr>
          <w:ilvl w:val="0"/>
          <w:numId w:val="2"/>
        </w:numPr>
        <w:spacing w:after="80" w:line="300"/>
      </w:pPr>
      <w:r>
        <w:rPr>
          <w:b/>
          <w:bCs/>
        </w:rPr>
        <w:t xml:space="preserve">Структурная сопоставимость вариантов А и Б.</w:t>
      </w:r>
      <w:r>
        <w:t xml:space="preserve"> В варианте А сотрудник дополнительно получает 11 500 ₽ компенсации, которой в варианте Б нет: часть разницы — не потери компании, а доход сотрудника. В текст добавлена отдельная оговорка. Достаточно ли её, или сравнение следует пересобрать на идентичных наборах благ.</w:t>
      </w:r>
    </w:p>
    <w:p>
      <w:pPr>
        <w:pStyle w:val="ListParagraph"/>
        <w:numPr>
          <w:ilvl w:val="0"/>
          <w:numId w:val="2"/>
        </w:numPr>
        <w:spacing w:after="80" w:line="300"/>
      </w:pPr>
      <w:r>
        <w:rPr>
          <w:b/>
          <w:bCs/>
        </w:rPr>
        <w:t xml:space="preserve">Эффект по налогу на прибыль в варианте А.</w:t>
      </w:r>
      <w:r>
        <w:t xml:space="preserve"> В модели он считается от всей суммы 189 023 ₽ (премия + взносы). Правомерно ли это, если экономическая суть операции — приобретение права пользования ПО, а не вознаграждение за труд. Если нет — итог варианта А изменится.</w:t>
      </w:r>
    </w:p>
    <w:p>
      <w:pPr>
        <w:pStyle w:val="ListParagraph"/>
        <w:numPr>
          <w:ilvl w:val="0"/>
          <w:numId w:val="2"/>
        </w:numPr>
        <w:spacing w:after="80" w:line="300"/>
      </w:pPr>
      <w:r>
        <w:rPr>
          <w:b/>
          <w:bCs/>
        </w:rPr>
        <w:t xml:space="preserve">Риск квалификации материала.</w:t>
      </w:r>
      <w:r>
        <w:t xml:space="preserve"> Публикация поставщика с налоговыми расчётами и ставками может восприниматься как налоговая консультация, как бы мы её ни называли. Просим оценить достаточность дисклеймера в начале расчётной части и сказать прямо, нужно ли убирать конкретные ставки из публичной версии, оставив только структуру расчёта.</w:t>
      </w:r>
    </w:p>
    <w:p>
      <w:pPr>
        <w:pStyle w:val="ListParagraph"/>
        <w:numPr>
          <w:ilvl w:val="0"/>
          <w:numId w:val="2"/>
        </w:numPr>
        <w:spacing w:after="80" w:line="300"/>
      </w:pPr>
      <w:r>
        <w:rPr>
          <w:b/>
          <w:bCs/>
        </w:rPr>
        <w:t xml:space="preserve">Ссылка на SAM-решение (Merchingene) — не вставлена, требует решения руководителя.</w:t>
      </w:r>
      <w:r>
        <w:t xml:space="preserve"> В предложенном дополнении раздел про Software Asset Management содержал ссылку на стороннее решение. Она не поставлена по трём причинам: продукт не входит в проверяемый банк фактов проекта и не проверен; исходящая ссылка на сторонний коммерческий сервис из экспертного материала поставщика меняет статус публикации; если у BIZSoft есть партнёрский или реферальный интерес, аффилиацию нужно раскрывать так же прямо, как собственную, а на части площадок реферальные ссылки прямо отнесены к спаму. Раздел оставлен без ссылки: он самодостаточен как объяснение класса решений. Прошу подтвердить статус продукта и решение по ссылке.</w:t>
      </w:r>
    </w:p>
    <w:p>
      <w:pPr>
        <w:pStyle w:val="ListParagraph"/>
        <w:numPr>
          <w:ilvl w:val="0"/>
          <w:numId w:val="2"/>
        </w:numPr>
        <w:spacing w:after="80" w:line="300"/>
      </w:pPr>
      <w:r>
        <w:rPr>
          <w:b/>
          <w:bCs/>
        </w:rPr>
        <w:t xml:space="preserve">Актуальность параметров на дату публикации.</w:t>
      </w:r>
      <w:r>
        <w:t xml:space="preserve"> Все налоговые величины в тексте требуют подтверждения на дату выхода материала: они не входят в проверяемый банк фактов проекта и при редактуре не верифицировались.</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111"/>
      <w:sz w:val="32"/>
      <w:szCs w:val="32"/>
    </w:rPr>
  </w:style>
  <w:style w:type="paragraph" w:styleId="Heading2">
    <w:name w:val="Heading 2"/>
    <w:basedOn w:val="Normal"/>
    <w:next w:val="Normal"/>
    <w:qFormat/>
    <w:rPr>
      <w:rFonts w:ascii="Calibri" w:cs="Calibri" w:eastAsia="Calibri" w:hAnsi="Calibri"/>
      <w:b/>
      <w:bCs/>
      <w:color w:val="111111"/>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rFonts w:ascii="Calibri" w:cs="Calibri" w:eastAsia="Calibri" w:hAnsi="Calibri"/>
      <w:b/>
      <w:bCs/>
      <w:color w:val="404040"/>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nrue4-gxmzxinrjso0j_" Type="http://schemas.openxmlformats.org/officeDocument/2006/relationships/hyperlink" Target="https://biz-soft.pro/blog/zakryvayushchie-dokumenty-na-po" TargetMode="External"/><Relationship Id="rIdvrtro6tirtgfv9i7bmisb" Type="http://schemas.openxmlformats.org/officeDocument/2006/relationships/hyperlink" Target="https://biz-soft.pro/blog/kak-kupit-zarubezhnoe-po-dlya-yurlic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BIZSoft — внешние публикации, неделя 1</dc:title>
  <dc:creator>BIZSoft</dc:creator>
  <dc:description>Восемь материалов для VC.ru, Дзена, Spark.ru и TenChat на внешнее экспертное ревью</dc:description>
  <cp:lastModifiedBy>Un-named</cp:lastModifiedBy>
  <cp:revision>1</cp:revision>
  <dcterms:created xsi:type="dcterms:W3CDTF">2026-09-02T05:57:03.694Z</dcterms:created>
  <dcterms:modified xsi:type="dcterms:W3CDTF">2026-09-02T05:57:03.694Z</dcterms:modified>
</cp:coreProperties>
</file>

<file path=docProps/custom.xml><?xml version="1.0" encoding="utf-8"?>
<Properties xmlns="http://schemas.openxmlformats.org/officeDocument/2006/custom-properties" xmlns:vt="http://schemas.openxmlformats.org/officeDocument/2006/docPropsVTypes"/>
</file>