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Apertura Telescope Specs</w:t>
      </w:r>
      <w:r w:rsidDel="00000000" w:rsidR="00000000" w:rsidRPr="00000000">
        <w:rPr>
          <w:rtl w:val="0"/>
        </w:rPr>
      </w:r>
    </w:p>
    <w:tbl>
      <w:tblPr>
        <w:tblStyle w:val="Table1"/>
        <w:tblW w:w="7742.0" w:type="dxa"/>
        <w:jc w:val="left"/>
        <w:tblInd w:w="0.0" w:type="dxa"/>
        <w:tblBorders>
          <w:top w:color="eaeaea" w:space="0" w:sz="6" w:val="single"/>
          <w:left w:color="eaeaea" w:space="0" w:sz="4" w:val="single"/>
          <w:bottom w:color="eaeaea" w:space="0" w:sz="6" w:val="single"/>
          <w:right w:color="eaeaea" w:space="0" w:sz="4" w:val="single"/>
        </w:tblBorders>
        <w:tblLayout w:type="fixed"/>
        <w:tblLook w:val="0400"/>
      </w:tblPr>
      <w:tblGrid>
        <w:gridCol w:w="4550"/>
        <w:gridCol w:w="3192"/>
        <w:tblGridChange w:id="0">
          <w:tblGrid>
            <w:gridCol w:w="4550"/>
            <w:gridCol w:w="3192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Number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6F5N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Telescope Series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Apertura Newtonians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Focal Ratio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f/5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Optical Design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Newtonian Reflector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Telescope Aperture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152.4mm (6")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Telescope Mount Type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 Mount - OTA Only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Electronics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OTA Only - No Electronics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Focal Length (mm)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762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Mirror Central Obstruction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2" Diameter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Focuser Style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Crayford/Crayford Style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Focuser Size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2"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Focuser Speed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Single Speed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Telescope OTA Length (in.)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fffff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aea" w:space="0" w:sz="6" w:val="single"/>
              <w:right w:color="eaeaea" w:space="0" w:sz="4" w:val="single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Telescope OTA Weight (lb.)</w:t>
            </w:r>
          </w:p>
        </w:tc>
        <w:tc>
          <w:tcPr>
            <w:tcBorders>
              <w:bottom w:color="eaeaea" w:space="0" w:sz="6" w:val="single"/>
              <w:right w:color="000000" w:space="0" w:sz="0" w:val="nil"/>
            </w:tcBorders>
            <w:shd w:fill="fbfbfb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IbrUdSlDFm2TlQtpZ6Zak4m0Q==">AMUW2mWnJFuh2owzCQu3Aca7SFLVXXaPse29d/wY5TWKVyFuAFdj6T2mmzrruKnAksZG9540jxx6ouWtz/HZU7TK+hgcJ94NSLMqYlBhe864zQh7K0CRV0w=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2022-01-27T15:39:00Z</dcterms:created>
  <dc:creator>Camille Watson</dc:creator>
</cp:coreProperties>
</file>