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35.0" w:type="dxa"/>
        <w:jc w:val="left"/>
        <w:tblInd w:w="-54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665"/>
        <w:gridCol w:w="9570"/>
        <w:tblGridChange w:id="0">
          <w:tblGrid>
            <w:gridCol w:w="1665"/>
            <w:gridCol w:w="957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Alejandro Franco Escobedo Miño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</w:t>
            </w: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5759768" cy="5692923"/>
                  <wp:effectExtent b="0" l="0" r="0" t="0"/>
                  <wp:docPr id="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68" cy="56929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60"/>
        <w:gridCol w:w="1170"/>
        <w:gridCol w:w="1140"/>
        <w:gridCol w:w="1170"/>
        <w:gridCol w:w="1125"/>
        <w:gridCol w:w="1080"/>
        <w:gridCol w:w="2190"/>
        <w:tblGridChange w:id="0">
          <w:tblGrid>
            <w:gridCol w:w="3360"/>
            <w:gridCol w:w="1170"/>
            <w:gridCol w:w="1140"/>
            <w:gridCol w:w="1170"/>
            <w:gridCol w:w="1125"/>
            <w:gridCol w:w="1080"/>
            <w:gridCol w:w="21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144.00000000000006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ind w:lef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GNpCwylYSrOiOrAy3tM0TW/XQ==">CgMxLjAyCGguZ2pkZ3hzMgloLjMwajB6bGw4AHIhMU5lQ2hHR093UFc5blk2ekRnaDBaTF9xeF9OU3hfNDBZ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