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lyi0tu2xl7jc" w:id="0"/>
      <w:bookmarkEnd w:id="0"/>
      <w:r w:rsidDel="00000000" w:rsidR="00000000" w:rsidRPr="00000000">
        <w:rPr>
          <w:b w:val="1"/>
          <w:bCs w:val="1"/>
          <w:sz w:val="46"/>
          <w:szCs w:val="46"/>
          <w:rtl w:val="0"/>
        </w:rPr>
        <w:t xml:space="preserve">Final Project Report</w:t>
      </w:r>
    </w:p>
    <w:p w:rsidR="00000000" w:rsidDel="00000000" w:rsidP="00000000" w:rsidRDefault="00000000" w:rsidRPr="00000000" w14:paraId="000000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18jhov6145z" w:id="1"/>
      <w:bookmarkEnd w:id="1"/>
      <w:r w:rsidDel="00000000" w:rsidR="00000000" w:rsidRPr="00000000">
        <w:rPr>
          <w:b w:val="1"/>
          <w:bCs w:val="1"/>
          <w:sz w:val="46"/>
          <w:szCs w:val="46"/>
          <w:rtl w:val="0"/>
        </w:rPr>
        <w:t xml:space="preserve">Task 1 – PySpark Implementation of Recommendation System</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gylg3hn6vmvy" w:id="2"/>
      <w:bookmarkEnd w:id="2"/>
      <w:r w:rsidDel="00000000" w:rsidR="00000000" w:rsidRPr="00000000">
        <w:rPr>
          <w:b w:val="1"/>
          <w:bCs w:val="1"/>
          <w:color w:val="000000"/>
          <w:sz w:val="26"/>
          <w:szCs w:val="26"/>
          <w:rtl w:val="0"/>
        </w:rPr>
        <w:t xml:space="preserve">1. Introduction</w:t>
      </w:r>
    </w:p>
    <w:p w:rsidR="00000000" w:rsidDel="00000000" w:rsidP="00000000" w:rsidRDefault="00000000" w:rsidRPr="00000000" w14:paraId="00000005">
      <w:pPr>
        <w:spacing w:after="240" w:before="240" w:lineRule="auto"/>
        <w:rPr/>
      </w:pPr>
      <w:r w:rsidDel="00000000" w:rsidR="00000000" w:rsidRPr="00000000">
        <w:rPr>
          <w:rtl w:val="0"/>
        </w:rPr>
        <w:t xml:space="preserve">Task 1 involved developing a recommendation system using PySpark and the Vehicle CO₂ Emissions dataset. The aim was not only to produce recommendations, but also to demonstrate a complete data-science workflow: loading and cleaning data, exploring patterns, engineering features, and building a valid similarity-based model. PySpark was particularly suitable for this task due to its distributed processing capabilities and its machine-learning components, which support scalable analysis even when working with large datasets.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xo40zsam392y" w:id="3"/>
      <w:bookmarkEnd w:id="3"/>
      <w:r w:rsidDel="00000000" w:rsidR="00000000" w:rsidRPr="00000000">
        <w:rPr>
          <w:b w:val="1"/>
          <w:bCs w:val="1"/>
          <w:color w:val="000000"/>
          <w:sz w:val="26"/>
          <w:szCs w:val="26"/>
          <w:rtl w:val="0"/>
        </w:rPr>
        <w:t xml:space="preserve">2. Loading, Inspecting, and Cleaning the Dataset</w:t>
      </w:r>
    </w:p>
    <w:p w:rsidR="00000000" w:rsidDel="00000000" w:rsidP="00000000" w:rsidRDefault="00000000" w:rsidRPr="00000000" w14:paraId="00000007">
      <w:pPr>
        <w:spacing w:after="240" w:before="240" w:lineRule="auto"/>
        <w:rPr/>
      </w:pPr>
      <w:r w:rsidDel="00000000" w:rsidR="00000000" w:rsidRPr="00000000">
        <w:rPr>
          <w:rtl w:val="0"/>
        </w:rPr>
        <w:t xml:space="preserve">The dataset contained 7385 rows and 12 columns describing key characteristics such as engine size, fuel consumption, vehicle class, and CO₂ emissions. After loading the data into a PySpark DataFrame, the first step was to standardise the column names. Because Spark ML components require consistent formatting, all names were converted to lowercase snake_case.</w:t>
      </w:r>
    </w:p>
    <w:p w:rsidR="00000000" w:rsidDel="00000000" w:rsidP="00000000" w:rsidRDefault="00000000" w:rsidRPr="00000000" w14:paraId="00000008">
      <w:pPr>
        <w:spacing w:after="240" w:before="240" w:lineRule="auto"/>
        <w:rPr/>
      </w:pPr>
      <w:r w:rsidDel="00000000" w:rsidR="00000000" w:rsidRPr="00000000">
        <w:rPr>
          <w:rtl w:val="0"/>
        </w:rPr>
        <w:t xml:space="preserve">A major issue identified early was the presence of exact duplicate rows. To detect these reliably, make and model were normalised to uppercase. This revealed 1395 duplicated entries, which were removed. Partial duplicates—vehicles with nearly identical attributes but slightly different versions—were retained, as they reflect real variation and are relevant in a recommendation context.</w:t>
      </w:r>
    </w:p>
    <w:p w:rsidR="00000000" w:rsidDel="00000000" w:rsidP="00000000" w:rsidRDefault="00000000" w:rsidRPr="00000000" w14:paraId="00000009">
      <w:pPr>
        <w:spacing w:after="240" w:before="240" w:lineRule="auto"/>
        <w:rPr/>
      </w:pPr>
      <w:r w:rsidDel="00000000" w:rsidR="00000000" w:rsidRPr="00000000">
        <w:rPr>
          <w:rtl w:val="0"/>
        </w:rPr>
        <w:t xml:space="preserve">The dataset contained no missing values or placeholder strings representing nulls. Numerical fields were cast to float types for consistency, while categorical values were cleaned to avoid inconsistencies. The vehicle_class column had 16 specific categories; although merging them could simplify the model, this would reduce recommendation accuracy by removing meaningful distinctions between body types. Therefore, the categories were preserved but formatted consistently.</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repsgsv27ysy" w:id="4"/>
      <w:bookmarkEnd w:id="4"/>
      <w:r w:rsidDel="00000000" w:rsidR="00000000" w:rsidRPr="00000000">
        <w:rPr>
          <w:b w:val="1"/>
          <w:bCs w:val="1"/>
          <w:color w:val="000000"/>
          <w:sz w:val="26"/>
          <w:szCs w:val="26"/>
          <w:rtl w:val="0"/>
        </w:rPr>
        <w:t xml:space="preserve">3. Exploratory Data Analysis</w:t>
      </w:r>
    </w:p>
    <w:p w:rsidR="00000000" w:rsidDel="00000000" w:rsidP="00000000" w:rsidRDefault="00000000" w:rsidRPr="00000000" w14:paraId="0000000B">
      <w:pPr>
        <w:spacing w:after="240" w:before="240" w:lineRule="auto"/>
        <w:rPr/>
      </w:pPr>
      <w:r w:rsidDel="00000000" w:rsidR="00000000" w:rsidRPr="00000000">
        <w:rPr>
          <w:rtl w:val="0"/>
        </w:rPr>
        <w:t xml:space="preserve">Exploratory analysis focused on understanding distributions and relationships between variables. Continuous attributes such as engine size, emissions, and fuel consumption showed realistic variation, including outliers that corresponded to genuine differences rather than errors. These outliers were retained.</w:t>
      </w:r>
    </w:p>
    <w:p w:rsidR="00000000" w:rsidDel="00000000" w:rsidP="00000000" w:rsidRDefault="00000000" w:rsidRPr="00000000" w14:paraId="0000000C">
      <w:pPr>
        <w:spacing w:after="240" w:before="240" w:lineRule="auto"/>
        <w:rPr/>
      </w:pPr>
      <w:r w:rsidDel="00000000" w:rsidR="00000000" w:rsidRPr="00000000">
        <w:rPr>
          <w:rtl w:val="0"/>
        </w:rPr>
        <w:t xml:space="preserve">Correlation analysis was especially useful. CO₂ emissions showed strong correlations with fuel consumption in both city and highway settings, and a high correlation with engine size as well. Since </w:t>
      </w:r>
      <w:r w:rsidDel="00000000" w:rsidR="00000000" w:rsidRPr="00000000">
        <w:rPr>
          <w:i w:val="1"/>
          <w:iCs w:val="1"/>
          <w:rtl w:val="0"/>
        </w:rPr>
        <w:t xml:space="preserve">fuel_consumption_comb</w:t>
      </w:r>
      <w:r w:rsidDel="00000000" w:rsidR="00000000" w:rsidRPr="00000000">
        <w:rPr>
          <w:rtl w:val="0"/>
        </w:rPr>
        <w:t xml:space="preserve"> is derived from the other two fuel consumption fields, it was excluded to avoid redundant information influencing similarity calculations.</w:t>
      </w:r>
    </w:p>
    <w:p w:rsidR="00000000" w:rsidDel="00000000" w:rsidP="00000000" w:rsidRDefault="00000000" w:rsidRPr="00000000" w14:paraId="0000000D">
      <w:pPr>
        <w:spacing w:after="240" w:before="240" w:lineRule="auto"/>
        <w:rPr/>
      </w:pPr>
      <w:r w:rsidDel="00000000" w:rsidR="00000000" w:rsidRPr="00000000">
        <w:rPr>
          <w:rtl w:val="0"/>
        </w:rPr>
        <w:t xml:space="preserve">Categorical features, particularly make and model, had very high cardinality. Including them in the feature vector would cause the similarity model to overemphasise brand identity instead of technical characteristics, so these fields were kept only for display purposes and not used in the similarity computation.</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lm71raqz54bm" w:id="5"/>
      <w:bookmarkEnd w:id="5"/>
      <w:r w:rsidDel="00000000" w:rsidR="00000000" w:rsidRPr="00000000">
        <w:rPr>
          <w:b w:val="1"/>
          <w:bCs w:val="1"/>
          <w:color w:val="000000"/>
          <w:sz w:val="26"/>
          <w:szCs w:val="26"/>
          <w:rtl w:val="0"/>
        </w:rPr>
        <w:t xml:space="preserve">4. Feature Selection and Preprocessing</w:t>
      </w:r>
    </w:p>
    <w:p w:rsidR="00000000" w:rsidDel="00000000" w:rsidP="00000000" w:rsidRDefault="00000000" w:rsidRPr="00000000" w14:paraId="0000000F">
      <w:pPr>
        <w:spacing w:after="240" w:before="240" w:lineRule="auto"/>
        <w:rPr/>
      </w:pPr>
      <w:r w:rsidDel="00000000" w:rsidR="00000000" w:rsidRPr="00000000">
        <w:rPr>
          <w:rtl w:val="0"/>
        </w:rPr>
        <w:t xml:space="preserve">Feature preparation consisted of choosing variables that meaningfully describe the technical profile of each vehicle. Numerical features (engine size, cylinders, CO₂ emissions, and separate city/highway fuel consumption values) were scaled to ensure no single variable dominated the cosine similarity measure.</w:t>
      </w:r>
    </w:p>
    <w:p w:rsidR="00000000" w:rsidDel="00000000" w:rsidP="00000000" w:rsidRDefault="00000000" w:rsidRPr="00000000" w14:paraId="00000010">
      <w:pPr>
        <w:spacing w:after="240" w:before="240" w:lineRule="auto"/>
        <w:rPr/>
      </w:pPr>
      <w:r w:rsidDel="00000000" w:rsidR="00000000" w:rsidRPr="00000000">
        <w:rPr>
          <w:rtl w:val="0"/>
        </w:rPr>
        <w:t xml:space="preserve">Categorical features—including transmission, fuel type, and vehicle class—were encoded using StringIndexer and OneHotEncoder. Make and model were excluded due to their high cardinality and their potential to bias recommendations toward brand similarity rather than functional similarity.</w:t>
      </w:r>
    </w:p>
    <w:p w:rsidR="00000000" w:rsidDel="00000000" w:rsidP="00000000" w:rsidRDefault="00000000" w:rsidRPr="00000000" w14:paraId="00000011">
      <w:pPr>
        <w:spacing w:after="240" w:before="240" w:lineRule="auto"/>
        <w:rPr/>
      </w:pPr>
      <w:r w:rsidDel="00000000" w:rsidR="00000000" w:rsidRPr="00000000">
        <w:rPr>
          <w:rtl w:val="0"/>
        </w:rPr>
        <w:t xml:space="preserve">The resulting feature vector provided a balanced representation of vehicle characteristics appropriate for measuring similarity.</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sfkhiqiyrfaa" w:id="6"/>
      <w:bookmarkEnd w:id="6"/>
      <w:r w:rsidDel="00000000" w:rsidR="00000000" w:rsidRPr="00000000">
        <w:rPr>
          <w:b w:val="1"/>
          <w:bCs w:val="1"/>
          <w:color w:val="000000"/>
          <w:sz w:val="26"/>
          <w:szCs w:val="26"/>
          <w:rtl w:val="0"/>
        </w:rPr>
        <w:t xml:space="preserve">5. Recommendation System Methodology</w:t>
      </w:r>
    </w:p>
    <w:p w:rsidR="00000000" w:rsidDel="00000000" w:rsidP="00000000" w:rsidRDefault="00000000" w:rsidRPr="00000000" w14:paraId="00000013">
      <w:pPr>
        <w:spacing w:after="240" w:before="240" w:lineRule="auto"/>
        <w:rPr/>
      </w:pPr>
      <w:r w:rsidDel="00000000" w:rsidR="00000000" w:rsidRPr="00000000">
        <w:rPr>
          <w:rtl w:val="0"/>
        </w:rPr>
        <w:t xml:space="preserve">The recommendation system used cosine similarity to compare vehicles. Cosine similarity evaluates how close two vectors are in terms of direction, which works well when features have been encoded and scaled.</w:t>
      </w:r>
    </w:p>
    <w:p w:rsidR="00000000" w:rsidDel="00000000" w:rsidP="00000000" w:rsidRDefault="00000000" w:rsidRPr="00000000" w14:paraId="00000014">
      <w:pPr>
        <w:spacing w:after="240" w:before="240" w:lineRule="auto"/>
        <w:rPr/>
      </w:pPr>
      <w:r w:rsidDel="00000000" w:rsidR="00000000" w:rsidRPr="00000000">
        <w:rPr>
          <w:rtl w:val="0"/>
        </w:rPr>
        <w:t xml:space="preserve">The implementation followed these steps:</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rtl w:val="0"/>
        </w:rPr>
        <w:t xml:space="preserve">Transform each vehicle into a numerical feature vector.</w:t>
        <w:br w:type="textWrapping"/>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Select a target vehicle.</w:t>
        <w:br w:type="textWrapping"/>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Compute cosine similarity between the target and all other vehicles.</w:t>
        <w:br w:type="textWrapping"/>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rtl w:val="0"/>
        </w:rPr>
        <w:t xml:space="preserve">Rank vehicles by similarity score and return the closest matches.</w:t>
        <w:br w:type="textWrapping"/>
      </w:r>
    </w:p>
    <w:p w:rsidR="00000000" w:rsidDel="00000000" w:rsidP="00000000" w:rsidRDefault="00000000" w:rsidRPr="00000000" w14:paraId="00000019">
      <w:pPr>
        <w:spacing w:after="240" w:before="240" w:lineRule="auto"/>
        <w:rPr/>
      </w:pPr>
      <w:r w:rsidDel="00000000" w:rsidR="00000000" w:rsidRPr="00000000">
        <w:rPr>
          <w:rtl w:val="0"/>
        </w:rPr>
        <w:t xml:space="preserve">This approach produced recommendations that grouped vehicles by meaningful technical attributes such as efficiency, emissions level, and functional category.</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sm24g4td7ntb" w:id="7"/>
      <w:bookmarkEnd w:id="7"/>
      <w:r w:rsidDel="00000000" w:rsidR="00000000" w:rsidRPr="00000000">
        <w:rPr>
          <w:b w:val="1"/>
          <w:bCs w:val="1"/>
          <w:color w:val="000000"/>
          <w:sz w:val="26"/>
          <w:szCs w:val="26"/>
          <w:rtl w:val="0"/>
        </w:rPr>
        <w:t xml:space="preserve">6. Evaluation</w:t>
      </w:r>
    </w:p>
    <w:p w:rsidR="00000000" w:rsidDel="00000000" w:rsidP="00000000" w:rsidRDefault="00000000" w:rsidRPr="00000000" w14:paraId="0000001B">
      <w:pPr>
        <w:spacing w:after="240" w:before="240" w:lineRule="auto"/>
        <w:rPr/>
      </w:pPr>
      <w:r w:rsidDel="00000000" w:rsidR="00000000" w:rsidRPr="00000000">
        <w:rPr>
          <w:rtl w:val="0"/>
        </w:rPr>
        <w:t xml:space="preserve">Since similarity-based systems do not predict a target variable, traditional metrics such as accuracy or RMSE are not applicable. Therefore, evaluation focused on the coherence and plausibility of the recommendations.</w:t>
      </w:r>
    </w:p>
    <w:p w:rsidR="00000000" w:rsidDel="00000000" w:rsidP="00000000" w:rsidRDefault="00000000" w:rsidRPr="00000000" w14:paraId="0000001C">
      <w:pPr>
        <w:spacing w:after="240" w:before="240" w:lineRule="auto"/>
        <w:rPr/>
      </w:pPr>
      <w:r w:rsidDel="00000000" w:rsidR="00000000" w:rsidRPr="00000000">
        <w:rPr>
          <w:rtl w:val="0"/>
        </w:rPr>
        <w:t xml:space="preserve">The system behaved as expected: vehicles with similar classes, fuel consumption profiles, and emissions tended to be grouped together. Removing redundant features (such as combined fuel consumption) and excluding make/model helped prevent distortions in similarity scores.</w:t>
      </w:r>
    </w:p>
    <w:p w:rsidR="00000000" w:rsidDel="00000000" w:rsidP="00000000" w:rsidRDefault="00000000" w:rsidRPr="00000000" w14:paraId="0000001D">
      <w:pPr>
        <w:spacing w:after="240" w:before="240" w:lineRule="auto"/>
        <w:rPr/>
      </w:pPr>
      <w:r w:rsidDel="00000000" w:rsidR="00000000" w:rsidRPr="00000000">
        <w:rPr>
          <w:rtl w:val="0"/>
        </w:rPr>
        <w:t xml:space="preserve">Some limitations remain. All features are treated equally unless weights are added, meaning the system cannot prioritise attributes based on user preferences. Rare vehicle classes also have fewer comparison points, which may affect results. Still, the system provides a solid foundation for similarity-based recommendations.</w:t>
      </w:r>
    </w:p>
    <w:p w:rsidR="00000000" w:rsidDel="00000000" w:rsidP="00000000" w:rsidRDefault="00000000" w:rsidRPr="00000000" w14:paraId="000000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b w:val="1"/>
          <w:bCs w:val="1"/>
          <w:sz w:val="46"/>
          <w:szCs w:val="46"/>
        </w:rPr>
      </w:pPr>
      <w:bookmarkStart w:colFirst="0" w:colLast="0" w:name="_27i0xh6yqr6k" w:id="8"/>
      <w:bookmarkEnd w:id="8"/>
      <w:r w:rsidDel="00000000" w:rsidR="00000000" w:rsidRPr="00000000">
        <w:rPr>
          <w:b w:val="1"/>
          <w:bCs w:val="1"/>
          <w:sz w:val="46"/>
          <w:szCs w:val="46"/>
          <w:rtl w:val="0"/>
        </w:rPr>
        <w:t xml:space="preserve">Task 2 – MapReduce for Powerlifting Dataset</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uoxxsbjujii" w:id="9"/>
      <w:bookmarkEnd w:id="9"/>
      <w:r w:rsidDel="00000000" w:rsidR="00000000" w:rsidRPr="00000000">
        <w:rPr>
          <w:b w:val="1"/>
          <w:bCs w:val="1"/>
          <w:color w:val="000000"/>
          <w:sz w:val="26"/>
          <w:szCs w:val="26"/>
          <w:rtl w:val="0"/>
        </w:rPr>
        <w:t xml:space="preserve">1. Introduction</w:t>
      </w:r>
    </w:p>
    <w:p w:rsidR="00000000" w:rsidDel="00000000" w:rsidP="00000000" w:rsidRDefault="00000000" w:rsidRPr="00000000" w14:paraId="00000021">
      <w:pPr>
        <w:spacing w:after="240" w:before="240" w:lineRule="auto"/>
        <w:rPr/>
      </w:pPr>
      <w:r w:rsidDel="00000000" w:rsidR="00000000" w:rsidRPr="00000000">
        <w:rPr>
          <w:rtl w:val="0"/>
        </w:rPr>
        <w:t xml:space="preserve">Task 2 required applying MapReduce principles using PySpark’s RDD interface. The dataset consisted of competition information and detailed athlete performance records. The main goal was to implement three distributed computations: counting participants per competition, generating detailed competition summaries, and calculating total weight lifted per participant across all competitions.</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1ztdrr1e928x" w:id="10"/>
      <w:bookmarkEnd w:id="10"/>
      <w:r w:rsidDel="00000000" w:rsidR="00000000" w:rsidRPr="00000000">
        <w:rPr>
          <w:b w:val="1"/>
          <w:bCs w:val="1"/>
          <w:color w:val="000000"/>
          <w:sz w:val="26"/>
          <w:szCs w:val="26"/>
          <w:rtl w:val="0"/>
        </w:rPr>
        <w:t xml:space="preserve">2. Number of Participants per Competition</w:t>
      </w:r>
    </w:p>
    <w:p w:rsidR="00000000" w:rsidDel="00000000" w:rsidP="00000000" w:rsidRDefault="00000000" w:rsidRPr="00000000" w14:paraId="00000023">
      <w:pPr>
        <w:spacing w:after="240" w:before="240" w:lineRule="auto"/>
        <w:rPr/>
      </w:pPr>
      <w:r w:rsidDel="00000000" w:rsidR="00000000" w:rsidRPr="00000000">
        <w:rPr>
          <w:rtl w:val="0"/>
        </w:rPr>
        <w:t xml:space="preserve">The first step was mapping each athlete entry to a pair consisting of MeetID and the value 1, then reducing by key to count participants. The results showed substantial variation, with some competitions hosting very few athletes and others attracting hundreds. This reflects the diversity of competition types and scales across different regions and years.</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yvfmxkbiz1tw" w:id="11"/>
      <w:bookmarkEnd w:id="11"/>
      <w:r w:rsidDel="00000000" w:rsidR="00000000" w:rsidRPr="00000000">
        <w:rPr>
          <w:b w:val="1"/>
          <w:bCs w:val="1"/>
          <w:color w:val="000000"/>
          <w:sz w:val="26"/>
          <w:szCs w:val="26"/>
          <w:rtl w:val="0"/>
        </w:rPr>
        <w:t xml:space="preserve">3. Competition Summary</w:t>
      </w:r>
    </w:p>
    <w:p w:rsidR="00000000" w:rsidDel="00000000" w:rsidP="00000000" w:rsidRDefault="00000000" w:rsidRPr="00000000" w14:paraId="00000025">
      <w:pPr>
        <w:spacing w:after="240" w:before="240" w:lineRule="auto"/>
        <w:rPr/>
      </w:pPr>
      <w:r w:rsidDel="00000000" w:rsidR="00000000" w:rsidRPr="00000000">
        <w:rPr>
          <w:rtl w:val="0"/>
        </w:rPr>
        <w:t xml:space="preserve">The second step combined participant counts with metadata from the meets file. Each competition was mapped into a key-value pair containing its name, year, and country, indexed by MeetID. A join operation was performed to merge this with participant counts. The output provided a clear overview of each competition’s size and context.</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huqeq7evf5lq" w:id="12"/>
      <w:bookmarkEnd w:id="12"/>
      <w:r w:rsidDel="00000000" w:rsidR="00000000" w:rsidRPr="00000000">
        <w:rPr>
          <w:b w:val="1"/>
          <w:bCs w:val="1"/>
          <w:color w:val="000000"/>
          <w:sz w:val="26"/>
          <w:szCs w:val="26"/>
          <w:rtl w:val="0"/>
        </w:rPr>
        <w:t xml:space="preserve">4. Total Weight Lifted per Participant</w:t>
      </w:r>
    </w:p>
    <w:p w:rsidR="00000000" w:rsidDel="00000000" w:rsidP="00000000" w:rsidRDefault="00000000" w:rsidRPr="00000000" w14:paraId="00000027">
      <w:pPr>
        <w:spacing w:after="240" w:before="240" w:lineRule="auto"/>
        <w:rPr/>
      </w:pPr>
      <w:r w:rsidDel="00000000" w:rsidR="00000000" w:rsidRPr="00000000">
        <w:rPr>
          <w:rtl w:val="0"/>
        </w:rPr>
        <w:t xml:space="preserve">The final MapReduce task computed the total weight lifted by each athlete. Each record was mapped to a pair consisting of the athlete’s name and their TotalKg value, with missing values converted to zero. A reduction step summed the total weight across all competitions. This produced a cumulative performance score for each lifter, highlighting top performers with extremely high total lifts over multiple events.</w:t>
      </w:r>
    </w:p>
    <w:p w:rsidR="00000000" w:rsidDel="00000000" w:rsidP="00000000" w:rsidRDefault="00000000" w:rsidRPr="00000000" w14:paraId="000000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rPr>
          <w:b w:val="1"/>
          <w:bCs w:val="1"/>
          <w:sz w:val="46"/>
          <w:szCs w:val="46"/>
        </w:rPr>
      </w:pPr>
      <w:bookmarkStart w:colFirst="0" w:colLast="0" w:name="_9tc6tmyxn5o0" w:id="13"/>
      <w:bookmarkEnd w:id="13"/>
      <w:r w:rsidDel="00000000" w:rsidR="00000000" w:rsidRPr="00000000">
        <w:rPr>
          <w:b w:val="1"/>
          <w:bCs w:val="1"/>
          <w:sz w:val="46"/>
          <w:szCs w:val="46"/>
          <w:rtl w:val="0"/>
        </w:rPr>
        <w:t xml:space="preserve">Task 3 – Big Data Tools and Technology Appraisal</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wo1uuphd0ibv" w:id="14"/>
      <w:bookmarkEnd w:id="14"/>
      <w:r w:rsidDel="00000000" w:rsidR="00000000" w:rsidRPr="00000000">
        <w:rPr>
          <w:b w:val="1"/>
          <w:bCs w:val="1"/>
          <w:color w:val="000000"/>
          <w:sz w:val="26"/>
          <w:szCs w:val="26"/>
          <w:rtl w:val="0"/>
        </w:rPr>
        <w:t xml:space="preserve">1. Introduction</w:t>
      </w:r>
    </w:p>
    <w:p w:rsidR="00000000" w:rsidDel="00000000" w:rsidP="00000000" w:rsidRDefault="00000000" w:rsidRPr="00000000" w14:paraId="0000002B">
      <w:pPr>
        <w:spacing w:after="240" w:before="240" w:lineRule="auto"/>
        <w:rPr/>
      </w:pPr>
      <w:r w:rsidDel="00000000" w:rsidR="00000000" w:rsidRPr="00000000">
        <w:rPr>
          <w:rtl w:val="0"/>
        </w:rPr>
        <w:t xml:space="preserve">Task 3 evaluates the tools and approaches used in the previous tasks, focusing on their effectiveness, limitations, and suitability for large-scale data processing. Although both tasks used PySpark, they relied on different components: the DataFrame + MLlib pipeline in Task 1 and RDD-based MapReduce in Task 2.</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o45vz05te9ni" w:id="15"/>
      <w:bookmarkEnd w:id="15"/>
      <w:r w:rsidDel="00000000" w:rsidR="00000000" w:rsidRPr="00000000">
        <w:rPr>
          <w:b w:val="1"/>
          <w:bCs w:val="1"/>
          <w:color w:val="000000"/>
          <w:sz w:val="26"/>
          <w:szCs w:val="26"/>
          <w:rtl w:val="0"/>
        </w:rPr>
        <w:t xml:space="preserve">2. PySpark in Task 1</w:t>
      </w:r>
    </w:p>
    <w:p w:rsidR="00000000" w:rsidDel="00000000" w:rsidP="00000000" w:rsidRDefault="00000000" w:rsidRPr="00000000" w14:paraId="0000002D">
      <w:pPr>
        <w:spacing w:after="240" w:before="240" w:lineRule="auto"/>
        <w:rPr/>
      </w:pPr>
      <w:r w:rsidDel="00000000" w:rsidR="00000000" w:rsidRPr="00000000">
        <w:rPr>
          <w:rtl w:val="0"/>
        </w:rPr>
        <w:t xml:space="preserve">PySpark’s DataFrame API proved effective for the tasks that required substantial data cleaning and feature engineering. Its design is relatively intuitive, especially for users familiar with SQL-like operations. Spark MLlib also provided essential tools for encoding categorical variables, scaling features, and assembling vectors. These components made it straightforward to create a complete preprocessing pipeline.</w:t>
      </w:r>
    </w:p>
    <w:p w:rsidR="00000000" w:rsidDel="00000000" w:rsidP="00000000" w:rsidRDefault="00000000" w:rsidRPr="00000000" w14:paraId="0000002E">
      <w:pPr>
        <w:spacing w:after="240" w:before="240" w:lineRule="auto"/>
        <w:rPr/>
      </w:pPr>
      <w:r w:rsidDel="00000000" w:rsidR="00000000" w:rsidRPr="00000000">
        <w:rPr>
          <w:rtl w:val="0"/>
        </w:rPr>
        <w:t xml:space="preserve">One of PySpark’s strengths is its scalable architecture. Even though the dataset in this project was moderate, the workflow could easily handle much larger volumes of data. However, PySpark also has limitations. MLlib’s built-in tools for recommendation systems are limited to models such as ALS, meaning that similarity-based systems require more manual implementation. Debugging can also be more complex due to the distributed nature of execution.</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awr3zhensdd5" w:id="16"/>
      <w:bookmarkEnd w:id="16"/>
      <w:r w:rsidDel="00000000" w:rsidR="00000000" w:rsidRPr="00000000">
        <w:rPr>
          <w:b w:val="1"/>
          <w:bCs w:val="1"/>
          <w:color w:val="000000"/>
          <w:sz w:val="26"/>
          <w:szCs w:val="26"/>
          <w:rtl w:val="0"/>
        </w:rPr>
        <w:t xml:space="preserve">3. MapReduce (RDDs) in Task 2</w:t>
      </w:r>
    </w:p>
    <w:p w:rsidR="00000000" w:rsidDel="00000000" w:rsidP="00000000" w:rsidRDefault="00000000" w:rsidRPr="00000000" w14:paraId="00000030">
      <w:pPr>
        <w:spacing w:after="240" w:before="240" w:lineRule="auto"/>
        <w:rPr/>
      </w:pPr>
      <w:r w:rsidDel="00000000" w:rsidR="00000000" w:rsidRPr="00000000">
        <w:rPr>
          <w:rtl w:val="0"/>
        </w:rPr>
        <w:t xml:space="preserve">The RDD-based approach used in Task 2 offered a more hands-on way of applying MapReduce principles. RDDs expose low-level transformations such as map, reduceByKey, and join, making the computational steps transparent. This approach worked well for counting participants and aggregating weights, which naturally follow the MapReduce pattern.</w:t>
      </w:r>
    </w:p>
    <w:p w:rsidR="00000000" w:rsidDel="00000000" w:rsidP="00000000" w:rsidRDefault="00000000" w:rsidRPr="00000000" w14:paraId="00000031">
      <w:pPr>
        <w:spacing w:after="240" w:before="240" w:lineRule="auto"/>
        <w:rPr/>
      </w:pPr>
      <w:r w:rsidDel="00000000" w:rsidR="00000000" w:rsidRPr="00000000">
        <w:rPr>
          <w:rtl w:val="0"/>
        </w:rPr>
        <w:t xml:space="preserve">However, RDDs lack the optimisation capabilities of DataFrames, such as Catalyst, and they require more caution when handling data because schema information is not stored. For more complex analytical pipelines, DataFrames would generally be preferred, but for straightforward aggregation tasks, RDDs remain effective.</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1a1b0pgl11of" w:id="17"/>
      <w:bookmarkEnd w:id="17"/>
      <w:r w:rsidDel="00000000" w:rsidR="00000000" w:rsidRPr="00000000">
        <w:rPr>
          <w:b w:val="1"/>
          <w:bCs w:val="1"/>
          <w:color w:val="000000"/>
          <w:sz w:val="26"/>
          <w:szCs w:val="26"/>
          <w:rtl w:val="0"/>
        </w:rPr>
        <w:t xml:space="preserve">4. Comparison and Scalability</w:t>
      </w:r>
    </w:p>
    <w:p w:rsidR="00000000" w:rsidDel="00000000" w:rsidP="00000000" w:rsidRDefault="00000000" w:rsidRPr="00000000" w14:paraId="00000033">
      <w:pPr>
        <w:spacing w:after="240" w:before="240" w:lineRule="auto"/>
        <w:rPr/>
      </w:pPr>
      <w:r w:rsidDel="00000000" w:rsidR="00000000" w:rsidRPr="00000000">
        <w:rPr>
          <w:rtl w:val="0"/>
        </w:rPr>
        <w:t xml:space="preserve">Both approaches are scalable, but they serve different purposes. DataFrames are better suited for structured data processing and machine-learning workflows, benefiting from extensive optimisations. RDDs are suitable for tasks requiring explicit control over transformation steps or when processing unstructured data. The project clearly illustrated that Spark supports both high-level and low-level workflows, allowing users to choose the most appropriate tool based on the nature of the task.</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resmu4fd8eb8" w:id="18"/>
      <w:bookmarkEnd w:id="18"/>
      <w:r w:rsidDel="00000000" w:rsidR="00000000" w:rsidRPr="00000000">
        <w:rPr>
          <w:b w:val="1"/>
          <w:bCs w:val="1"/>
          <w:color w:val="000000"/>
          <w:sz w:val="26"/>
          <w:szCs w:val="26"/>
          <w:rtl w:val="0"/>
        </w:rPr>
        <w:t xml:space="preserve">5. Conclusion</w:t>
      </w:r>
    </w:p>
    <w:p w:rsidR="00000000" w:rsidDel="00000000" w:rsidP="00000000" w:rsidRDefault="00000000" w:rsidRPr="00000000" w14:paraId="00000035">
      <w:pPr>
        <w:spacing w:after="240" w:before="240" w:lineRule="auto"/>
        <w:rPr/>
      </w:pPr>
      <w:r w:rsidDel="00000000" w:rsidR="00000000" w:rsidRPr="00000000">
        <w:rPr>
          <w:rtl w:val="0"/>
        </w:rPr>
        <w:t xml:space="preserve">Overall, the project demonstrated how different components of PySpark can be used for different types of big-data tasks. The DataFrame-based approach enabled a structured and scalable recommendation system, while the MapReduce approach provided a clear and effective way to carry out distributed aggregation tasks. Each method was well matched to its respective task, and together they highlight the flexibility of big-data tools in supporting varied analytical workflows.</w:t>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