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2" w:type="dxa"/>
        <w:tblInd w:w="-291" w:type="dxa"/>
        <w:tblCellMar>
          <w:top w:w="15" w:type="dxa"/>
          <w:left w:w="15" w:type="dxa"/>
          <w:bottom w:w="15" w:type="dxa"/>
          <w:right w:w="15" w:type="dxa"/>
        </w:tblCellMar>
        <w:tblLook w:val="04A0" w:firstRow="1" w:lastRow="0" w:firstColumn="1" w:lastColumn="0" w:noHBand="0" w:noVBand="1"/>
      </w:tblPr>
      <w:tblGrid>
        <w:gridCol w:w="1718"/>
        <w:gridCol w:w="7664"/>
      </w:tblGrid>
      <w:tr w:rsidR="00571EE1" w:rsidRPr="00D15817" w14:paraId="1CFC7B7C" w14:textId="77777777" w:rsidTr="00571EE1">
        <w:trPr>
          <w:trHeight w:val="137"/>
        </w:trPr>
        <w:tc>
          <w:tcPr>
            <w:tcW w:w="1718"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3FE8DC9E" w14:textId="77777777" w:rsidR="00571EE1" w:rsidRPr="00571EE1" w:rsidRDefault="00571EE1" w:rsidP="003E7AA7">
            <w:pPr>
              <w:rPr>
                <w:color w:val="000000" w:themeColor="text1"/>
                <w:sz w:val="28"/>
                <w:szCs w:val="28"/>
              </w:rPr>
            </w:pPr>
            <w:bookmarkStart w:id="0" w:name="_Hlk25774920"/>
            <w:r w:rsidRPr="00571EE1">
              <w:rPr>
                <w:b/>
                <w:bCs/>
                <w:color w:val="000000" w:themeColor="text1"/>
                <w:sz w:val="28"/>
                <w:szCs w:val="28"/>
              </w:rPr>
              <w:t>Institución </w:t>
            </w:r>
          </w:p>
        </w:tc>
        <w:tc>
          <w:tcPr>
            <w:tcW w:w="7664"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6364617A" w14:textId="77777777" w:rsidR="00571EE1" w:rsidRPr="00571EE1" w:rsidRDefault="00571EE1" w:rsidP="003E7AA7">
            <w:pPr>
              <w:rPr>
                <w:b/>
                <w:color w:val="000000" w:themeColor="text1"/>
                <w:sz w:val="28"/>
                <w:szCs w:val="28"/>
              </w:rPr>
            </w:pPr>
            <w:r w:rsidRPr="00571EE1">
              <w:rPr>
                <w:b/>
                <w:i/>
                <w:iCs/>
                <w:color w:val="000000" w:themeColor="text1"/>
                <w:sz w:val="28"/>
                <w:szCs w:val="28"/>
              </w:rPr>
              <w:t>Conservatorio Nacional de Música-</w:t>
            </w:r>
            <w:proofErr w:type="spellStart"/>
            <w:r w:rsidRPr="00571EE1">
              <w:rPr>
                <w:b/>
                <w:i/>
                <w:iCs/>
                <w:color w:val="000000" w:themeColor="text1"/>
                <w:sz w:val="28"/>
                <w:szCs w:val="28"/>
              </w:rPr>
              <w:t>PreGrado</w:t>
            </w:r>
            <w:proofErr w:type="spellEnd"/>
            <w:r w:rsidRPr="00571EE1">
              <w:rPr>
                <w:b/>
                <w:i/>
                <w:iCs/>
                <w:color w:val="000000" w:themeColor="text1"/>
                <w:sz w:val="28"/>
                <w:szCs w:val="28"/>
              </w:rPr>
              <w:t xml:space="preserve"> Filial </w:t>
            </w:r>
            <w:proofErr w:type="spellStart"/>
            <w:r w:rsidRPr="00571EE1">
              <w:rPr>
                <w:b/>
                <w:i/>
                <w:iCs/>
                <w:color w:val="000000" w:themeColor="text1"/>
                <w:sz w:val="28"/>
                <w:szCs w:val="28"/>
              </w:rPr>
              <w:t>Itauguá</w:t>
            </w:r>
            <w:proofErr w:type="spellEnd"/>
          </w:p>
        </w:tc>
      </w:tr>
      <w:tr w:rsidR="00571EE1" w:rsidRPr="00D15817" w14:paraId="4AEC8C0C" w14:textId="77777777" w:rsidTr="00571EE1">
        <w:trPr>
          <w:trHeight w:val="50"/>
        </w:trPr>
        <w:tc>
          <w:tcPr>
            <w:tcW w:w="1718"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1D1A08AF" w14:textId="77777777" w:rsidR="00571EE1" w:rsidRPr="00571EE1" w:rsidRDefault="00571EE1" w:rsidP="003E7AA7">
            <w:pPr>
              <w:rPr>
                <w:color w:val="000000" w:themeColor="text1"/>
                <w:sz w:val="28"/>
                <w:szCs w:val="28"/>
              </w:rPr>
            </w:pPr>
            <w:r w:rsidRPr="00571EE1">
              <w:rPr>
                <w:b/>
                <w:bCs/>
                <w:color w:val="000000" w:themeColor="text1"/>
                <w:sz w:val="28"/>
                <w:szCs w:val="28"/>
              </w:rPr>
              <w:t>Asignatura</w:t>
            </w:r>
          </w:p>
        </w:tc>
        <w:tc>
          <w:tcPr>
            <w:tcW w:w="7664"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0ACBE3BD" w14:textId="77777777" w:rsidR="00571EE1" w:rsidRPr="00571EE1" w:rsidRDefault="00571EE1" w:rsidP="003E7AA7">
            <w:pPr>
              <w:rPr>
                <w:b/>
                <w:color w:val="000000" w:themeColor="text1"/>
                <w:sz w:val="28"/>
                <w:szCs w:val="28"/>
              </w:rPr>
            </w:pPr>
            <w:r w:rsidRPr="00571EE1">
              <w:rPr>
                <w:b/>
                <w:i/>
                <w:iCs/>
                <w:color w:val="000000" w:themeColor="text1"/>
                <w:sz w:val="28"/>
                <w:szCs w:val="28"/>
              </w:rPr>
              <w:t>Didáctica de la Música I</w:t>
            </w:r>
          </w:p>
        </w:tc>
      </w:tr>
      <w:tr w:rsidR="00571EE1" w:rsidRPr="00D15817" w14:paraId="66BA5DA2" w14:textId="77777777" w:rsidTr="00571EE1">
        <w:trPr>
          <w:trHeight w:val="321"/>
        </w:trPr>
        <w:tc>
          <w:tcPr>
            <w:tcW w:w="1718"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6FC57FA6" w14:textId="77777777" w:rsidR="00571EE1" w:rsidRPr="00571EE1" w:rsidRDefault="00571EE1" w:rsidP="003E7AA7">
            <w:pPr>
              <w:rPr>
                <w:color w:val="000000" w:themeColor="text1"/>
                <w:sz w:val="28"/>
                <w:szCs w:val="28"/>
                <w:lang w:val="pt-BR"/>
              </w:rPr>
            </w:pPr>
            <w:r w:rsidRPr="00571EE1">
              <w:rPr>
                <w:b/>
                <w:bCs/>
                <w:color w:val="000000" w:themeColor="text1"/>
                <w:sz w:val="28"/>
                <w:szCs w:val="28"/>
              </w:rPr>
              <w:t>Docente</w:t>
            </w:r>
          </w:p>
        </w:tc>
        <w:tc>
          <w:tcPr>
            <w:tcW w:w="7664"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06BEF49A" w14:textId="77777777" w:rsidR="00571EE1" w:rsidRPr="00571EE1" w:rsidRDefault="00571EE1" w:rsidP="003E7AA7">
            <w:pPr>
              <w:rPr>
                <w:b/>
                <w:i/>
                <w:color w:val="000000" w:themeColor="text1"/>
                <w:sz w:val="28"/>
                <w:szCs w:val="28"/>
              </w:rPr>
            </w:pPr>
            <w:r w:rsidRPr="00571EE1">
              <w:rPr>
                <w:b/>
                <w:bCs/>
                <w:i/>
                <w:sz w:val="28"/>
                <w:szCs w:val="28"/>
              </w:rPr>
              <w:t>Prof. Mg. Victor Martínez</w:t>
            </w:r>
          </w:p>
        </w:tc>
      </w:tr>
      <w:tr w:rsidR="00571EE1" w:rsidRPr="00D15817" w14:paraId="36E80F67" w14:textId="77777777" w:rsidTr="00571EE1">
        <w:trPr>
          <w:trHeight w:val="321"/>
        </w:trPr>
        <w:tc>
          <w:tcPr>
            <w:tcW w:w="1718"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tcPr>
          <w:p w14:paraId="16A6F7B4" w14:textId="77777777" w:rsidR="00571EE1" w:rsidRPr="00571EE1" w:rsidRDefault="00571EE1" w:rsidP="003E7AA7">
            <w:pPr>
              <w:rPr>
                <w:b/>
                <w:bCs/>
                <w:color w:val="000000" w:themeColor="text1"/>
                <w:sz w:val="28"/>
                <w:szCs w:val="28"/>
                <w:lang w:val="pt-BR"/>
              </w:rPr>
            </w:pPr>
            <w:r w:rsidRPr="00571EE1">
              <w:rPr>
                <w:b/>
                <w:bCs/>
                <w:color w:val="000000" w:themeColor="text1"/>
                <w:sz w:val="28"/>
                <w:szCs w:val="28"/>
                <w:lang w:val="pt-BR"/>
              </w:rPr>
              <w:t>Año</w:t>
            </w:r>
          </w:p>
        </w:tc>
        <w:tc>
          <w:tcPr>
            <w:tcW w:w="7664"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tcPr>
          <w:p w14:paraId="1E7984CB" w14:textId="77777777" w:rsidR="00571EE1" w:rsidRPr="00571EE1" w:rsidRDefault="00571EE1" w:rsidP="003E7AA7">
            <w:pPr>
              <w:rPr>
                <w:b/>
                <w:i/>
                <w:iCs/>
                <w:color w:val="000000" w:themeColor="text1"/>
                <w:sz w:val="28"/>
                <w:szCs w:val="28"/>
              </w:rPr>
            </w:pPr>
            <w:r w:rsidRPr="00571EE1">
              <w:rPr>
                <w:b/>
                <w:i/>
                <w:iCs/>
                <w:color w:val="000000" w:themeColor="text1"/>
                <w:sz w:val="28"/>
                <w:szCs w:val="28"/>
              </w:rPr>
              <w:t>2025</w:t>
            </w:r>
          </w:p>
        </w:tc>
      </w:tr>
    </w:tbl>
    <w:p w14:paraId="0E1C42CC" w14:textId="7A39BA50" w:rsidR="008670BE" w:rsidRDefault="008670BE" w:rsidP="008670BE">
      <w:pPr>
        <w:rPr>
          <w:b/>
          <w:bCs/>
          <w:sz w:val="28"/>
          <w:szCs w:val="28"/>
        </w:rPr>
      </w:pPr>
    </w:p>
    <w:p w14:paraId="20EABEF4" w14:textId="3F63856B" w:rsidR="006B4D7E" w:rsidRPr="00770273" w:rsidRDefault="008670BE" w:rsidP="008670BE">
      <w:pPr>
        <w:rPr>
          <w:b/>
          <w:bCs/>
          <w:sz w:val="28"/>
          <w:szCs w:val="28"/>
        </w:rPr>
      </w:pPr>
      <w:r>
        <w:rPr>
          <w:b/>
          <w:bCs/>
          <w:sz w:val="28"/>
          <w:szCs w:val="28"/>
        </w:rPr>
        <w:t>Nombre y Apellido del Alumno/a</w:t>
      </w:r>
      <w:r w:rsidR="007D41A2">
        <w:rPr>
          <w:b/>
          <w:bCs/>
          <w:sz w:val="28"/>
          <w:szCs w:val="28"/>
        </w:rPr>
        <w:t xml:space="preserve">: Minerva </w:t>
      </w:r>
      <w:proofErr w:type="spellStart"/>
      <w:r w:rsidR="007D41A2">
        <w:rPr>
          <w:b/>
          <w:bCs/>
          <w:sz w:val="28"/>
          <w:szCs w:val="28"/>
        </w:rPr>
        <w:t>Dosantos</w:t>
      </w:r>
      <w:proofErr w:type="spellEnd"/>
      <w:r w:rsidR="007D41A2">
        <w:rPr>
          <w:b/>
          <w:bCs/>
          <w:sz w:val="28"/>
          <w:szCs w:val="28"/>
        </w:rPr>
        <w:t xml:space="preserve"> </w:t>
      </w:r>
    </w:p>
    <w:p w14:paraId="68AC49D1" w14:textId="77777777" w:rsidR="006B4D7E" w:rsidRDefault="006B4D7E" w:rsidP="006B4D7E">
      <w:pPr>
        <w:tabs>
          <w:tab w:val="left" w:pos="0"/>
        </w:tabs>
        <w:jc w:val="center"/>
        <w:rPr>
          <w:rFonts w:ascii="Arial" w:hAnsi="Arial" w:cs="Arial"/>
          <w:b/>
          <w:sz w:val="24"/>
          <w:szCs w:val="24"/>
        </w:rPr>
      </w:pPr>
    </w:p>
    <w:bookmarkEnd w:id="0"/>
    <w:p w14:paraId="06196F1A" w14:textId="78E0410E" w:rsidR="00EA5F9B" w:rsidRDefault="00017A1F" w:rsidP="00010992">
      <w:pPr>
        <w:pStyle w:val="Prrafodelista"/>
        <w:shd w:val="clear" w:color="auto" w:fill="FFC000" w:themeFill="accent4"/>
        <w:ind w:left="0" w:right="-283"/>
        <w:jc w:val="center"/>
        <w:rPr>
          <w:b/>
          <w:i/>
          <w:sz w:val="32"/>
        </w:rPr>
      </w:pPr>
      <w:r>
        <w:rPr>
          <w:b/>
          <w:i/>
          <w:sz w:val="32"/>
        </w:rPr>
        <w:t xml:space="preserve">GUÍA DE TRABAJO - </w:t>
      </w:r>
      <w:r w:rsidR="00C72FB4">
        <w:rPr>
          <w:b/>
          <w:i/>
          <w:sz w:val="32"/>
        </w:rPr>
        <w:t>12</w:t>
      </w:r>
    </w:p>
    <w:p w14:paraId="15E032C0" w14:textId="5507A061" w:rsidR="00EA5F9B" w:rsidRDefault="00EA5F9B" w:rsidP="00EA5F9B"/>
    <w:p w14:paraId="3A52D407" w14:textId="300B4301" w:rsidR="00EA5F9B" w:rsidRPr="00BA4686" w:rsidRDefault="00EA5F9B" w:rsidP="00BA4686">
      <w:pPr>
        <w:shd w:val="clear" w:color="auto" w:fill="FFC000"/>
        <w:jc w:val="center"/>
        <w:rPr>
          <w:b/>
          <w:color w:val="000000" w:themeColor="text1"/>
          <w:sz w:val="24"/>
          <w:szCs w:val="24"/>
        </w:rPr>
      </w:pPr>
      <w:r w:rsidRPr="00BA4686">
        <w:rPr>
          <w:b/>
          <w:color w:val="000000" w:themeColor="text1"/>
          <w:sz w:val="24"/>
          <w:szCs w:val="24"/>
        </w:rPr>
        <w:t>GUIA DE APRENDIZAJE AUTÓNOMO</w:t>
      </w:r>
    </w:p>
    <w:p w14:paraId="169CEF08" w14:textId="26DAD130" w:rsidR="00EA5F9B" w:rsidRPr="00BA4686" w:rsidRDefault="00EA5F9B" w:rsidP="00BA4686">
      <w:pPr>
        <w:jc w:val="both"/>
        <w:rPr>
          <w:b/>
          <w:color w:val="000000" w:themeColor="text1"/>
          <w:sz w:val="24"/>
          <w:szCs w:val="24"/>
        </w:rPr>
      </w:pPr>
    </w:p>
    <w:tbl>
      <w:tblPr>
        <w:tblW w:w="0" w:type="auto"/>
        <w:tblInd w:w="115" w:type="dxa"/>
        <w:tblCellMar>
          <w:top w:w="15" w:type="dxa"/>
          <w:left w:w="15" w:type="dxa"/>
          <w:bottom w:w="15" w:type="dxa"/>
          <w:right w:w="15" w:type="dxa"/>
        </w:tblCellMar>
        <w:tblLook w:val="04A0" w:firstRow="1" w:lastRow="0" w:firstColumn="1" w:lastColumn="0" w:noHBand="0" w:noVBand="1"/>
      </w:tblPr>
      <w:tblGrid>
        <w:gridCol w:w="1181"/>
        <w:gridCol w:w="7512"/>
      </w:tblGrid>
      <w:tr w:rsidR="00EA5F9B" w:rsidRPr="00BA4686" w14:paraId="7C714422" w14:textId="77777777" w:rsidTr="00EA5F9B">
        <w:trPr>
          <w:trHeight w:val="316"/>
        </w:trPr>
        <w:tc>
          <w:tcPr>
            <w:tcW w:w="1181" w:type="dxa"/>
            <w:tcBorders>
              <w:top w:val="single" w:sz="12" w:space="0" w:color="FFFFFF"/>
              <w:left w:val="single" w:sz="12" w:space="0" w:color="FFFFFF"/>
              <w:bottom w:val="single" w:sz="4" w:space="0" w:color="FFFFFF"/>
              <w:right w:val="single" w:sz="12" w:space="0" w:color="FFFFFF"/>
            </w:tcBorders>
            <w:shd w:val="clear" w:color="auto" w:fill="A5C9EB"/>
            <w:tcMar>
              <w:top w:w="0" w:type="dxa"/>
              <w:left w:w="115" w:type="dxa"/>
              <w:bottom w:w="0" w:type="dxa"/>
              <w:right w:w="115" w:type="dxa"/>
            </w:tcMar>
            <w:vAlign w:val="center"/>
            <w:hideMark/>
          </w:tcPr>
          <w:p w14:paraId="3FA268CD" w14:textId="19933404" w:rsidR="00EA5F9B" w:rsidRPr="00BA4686" w:rsidRDefault="00EA5F9B" w:rsidP="00BA4686">
            <w:pPr>
              <w:jc w:val="both"/>
              <w:rPr>
                <w:color w:val="000000" w:themeColor="text1"/>
                <w:sz w:val="24"/>
                <w:szCs w:val="24"/>
              </w:rPr>
            </w:pPr>
            <w:r w:rsidRPr="00BA4686">
              <w:rPr>
                <w:b/>
                <w:bCs/>
                <w:color w:val="000000" w:themeColor="text1"/>
                <w:sz w:val="24"/>
                <w:szCs w:val="24"/>
              </w:rPr>
              <w:t>Tema</w:t>
            </w:r>
            <w:r w:rsidR="00D9695F">
              <w:rPr>
                <w:b/>
                <w:bCs/>
                <w:color w:val="000000" w:themeColor="text1"/>
                <w:sz w:val="24"/>
                <w:szCs w:val="24"/>
              </w:rPr>
              <w:t>s</w:t>
            </w:r>
            <w:r w:rsidRPr="00BA4686">
              <w:rPr>
                <w:b/>
                <w:bCs/>
                <w:color w:val="000000" w:themeColor="text1"/>
                <w:sz w:val="24"/>
                <w:szCs w:val="24"/>
              </w:rPr>
              <w:t> </w:t>
            </w:r>
          </w:p>
        </w:tc>
        <w:tc>
          <w:tcPr>
            <w:tcW w:w="7512"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0" w:type="dxa"/>
              <w:left w:w="115" w:type="dxa"/>
              <w:bottom w:w="0" w:type="dxa"/>
              <w:right w:w="115" w:type="dxa"/>
            </w:tcMar>
            <w:hideMark/>
          </w:tcPr>
          <w:p w14:paraId="5A7E4E5B" w14:textId="77777777" w:rsidR="00C72FB4" w:rsidRDefault="00C72FB4" w:rsidP="00C72FB4">
            <w:pPr>
              <w:jc w:val="both"/>
              <w:rPr>
                <w:lang w:val="es-MX" w:eastAsia="es-MX"/>
              </w:rPr>
            </w:pPr>
            <w:r>
              <w:rPr>
                <w:rStyle w:val="fontstyle01"/>
              </w:rPr>
              <w:t>La Educación musical en la formación de la personalidad</w:t>
            </w:r>
          </w:p>
          <w:p w14:paraId="0B5E079D" w14:textId="7AABEEA8" w:rsidR="00E90FC8" w:rsidRPr="00C72FB4" w:rsidRDefault="00E90FC8" w:rsidP="005A2C17">
            <w:pPr>
              <w:pStyle w:val="Sinespaciado"/>
              <w:jc w:val="both"/>
              <w:rPr>
                <w:rFonts w:ascii="Times New Roman" w:hAnsi="Times New Roman" w:cs="Times New Roman"/>
                <w:i/>
                <w:iCs/>
                <w:lang w:val="es-MX"/>
              </w:rPr>
            </w:pPr>
          </w:p>
          <w:p w14:paraId="6B47F5D2" w14:textId="06072AA0" w:rsidR="00E90FC8" w:rsidRPr="005A2C17" w:rsidRDefault="00B2395E" w:rsidP="00E90FC8">
            <w:pPr>
              <w:pStyle w:val="Sinespaciado"/>
              <w:numPr>
                <w:ilvl w:val="0"/>
                <w:numId w:val="10"/>
              </w:numPr>
              <w:jc w:val="both"/>
              <w:rPr>
                <w:rFonts w:ascii="Times New Roman" w:hAnsi="Times New Roman" w:cs="Times New Roman"/>
                <w:i/>
                <w:iCs/>
                <w:lang w:val="es-PY"/>
              </w:rPr>
            </w:pPr>
            <w:r>
              <w:rPr>
                <w:rFonts w:ascii="Times New Roman" w:eastAsia="Times New Roman" w:hAnsi="Times New Roman" w:cs="Times New Roman"/>
                <w:bCs/>
                <w:i/>
                <w:iCs/>
                <w:color w:val="000000"/>
                <w:kern w:val="0"/>
                <w:lang w:val="es-ES" w:eastAsia="es-ES"/>
                <w14:ligatures w14:val="none"/>
              </w:rPr>
              <w:t xml:space="preserve">Identificar los </w:t>
            </w:r>
            <w:r w:rsidR="00BC00DF" w:rsidRPr="00BC00DF">
              <w:rPr>
                <w:rFonts w:ascii="Times New Roman" w:eastAsia="Times New Roman" w:hAnsi="Times New Roman" w:cs="Times New Roman"/>
                <w:bCs/>
                <w:i/>
                <w:iCs/>
                <w:color w:val="000000"/>
                <w:kern w:val="0"/>
                <w:lang w:val="es-ES" w:eastAsia="es-ES"/>
                <w14:ligatures w14:val="none"/>
              </w:rPr>
              <w:t>Elementos sonoros en el aprendizaje de los niños pequeños</w:t>
            </w:r>
          </w:p>
          <w:p w14:paraId="5BFB0029" w14:textId="2F701EEB" w:rsidR="005A2C17" w:rsidRPr="00BC00DF" w:rsidRDefault="005A2C17" w:rsidP="00E90FC8">
            <w:pPr>
              <w:pStyle w:val="Sinespaciado"/>
              <w:numPr>
                <w:ilvl w:val="0"/>
                <w:numId w:val="10"/>
              </w:numPr>
              <w:jc w:val="both"/>
              <w:rPr>
                <w:rFonts w:ascii="Times New Roman" w:hAnsi="Times New Roman" w:cs="Times New Roman"/>
                <w:i/>
                <w:iCs/>
                <w:lang w:val="es-PY"/>
              </w:rPr>
            </w:pPr>
            <w:r>
              <w:rPr>
                <w:rFonts w:ascii="Times New Roman" w:eastAsia="Times New Roman" w:hAnsi="Times New Roman" w:cs="Times New Roman"/>
                <w:bCs/>
                <w:i/>
                <w:iCs/>
                <w:color w:val="000000"/>
                <w:kern w:val="0"/>
                <w:lang w:val="es-ES" w:eastAsia="es-ES"/>
                <w14:ligatures w14:val="none"/>
              </w:rPr>
              <w:t>Reconocer la import</w:t>
            </w:r>
            <w:r w:rsidR="00F0617C">
              <w:rPr>
                <w:rFonts w:ascii="Times New Roman" w:eastAsia="Times New Roman" w:hAnsi="Times New Roman" w:cs="Times New Roman"/>
                <w:bCs/>
                <w:i/>
                <w:iCs/>
                <w:color w:val="000000"/>
                <w:kern w:val="0"/>
                <w:lang w:val="es-ES" w:eastAsia="es-ES"/>
                <w14:ligatures w14:val="none"/>
              </w:rPr>
              <w:t>ancia de las prácticas y el enfoque metodológico</w:t>
            </w:r>
            <w:r>
              <w:rPr>
                <w:rFonts w:ascii="Times New Roman" w:eastAsia="Times New Roman" w:hAnsi="Times New Roman" w:cs="Times New Roman"/>
                <w:bCs/>
                <w:i/>
                <w:iCs/>
                <w:color w:val="000000"/>
                <w:kern w:val="0"/>
                <w:lang w:val="es-ES" w:eastAsia="es-ES"/>
                <w14:ligatures w14:val="none"/>
              </w:rPr>
              <w:t xml:space="preserve"> que tienen los niños/as al realizar actividades musicales.</w:t>
            </w:r>
          </w:p>
          <w:p w14:paraId="6E01C41F" w14:textId="5E3E2577" w:rsidR="00E90FC8" w:rsidRPr="00E90FC8" w:rsidRDefault="00E90FC8" w:rsidP="00BC00DF">
            <w:pPr>
              <w:pStyle w:val="Sinespaciado"/>
              <w:jc w:val="both"/>
              <w:rPr>
                <w:rFonts w:ascii="Times New Roman" w:hAnsi="Times New Roman" w:cs="Times New Roman"/>
                <w:i/>
                <w:iCs/>
                <w:lang w:val="es-PY"/>
              </w:rPr>
            </w:pPr>
          </w:p>
          <w:p w14:paraId="4502DADD" w14:textId="31B78583" w:rsidR="00D9695F" w:rsidRPr="00CF2F83" w:rsidRDefault="00D9695F" w:rsidP="00BA4686">
            <w:pPr>
              <w:pStyle w:val="Sinespaciado"/>
              <w:jc w:val="both"/>
              <w:rPr>
                <w:rFonts w:ascii="Times New Roman" w:hAnsi="Times New Roman" w:cs="Times New Roman"/>
                <w:bCs/>
                <w:i/>
                <w:iCs/>
                <w:lang w:val="es-PY"/>
              </w:rPr>
            </w:pPr>
          </w:p>
          <w:p w14:paraId="18A49192" w14:textId="77777777" w:rsidR="00EA5F9B" w:rsidRPr="00CF2F83" w:rsidRDefault="00EA5F9B" w:rsidP="00BA4686">
            <w:pPr>
              <w:jc w:val="both"/>
              <w:rPr>
                <w:color w:val="000000" w:themeColor="text1"/>
                <w:sz w:val="24"/>
                <w:szCs w:val="24"/>
              </w:rPr>
            </w:pPr>
            <w:r w:rsidRPr="00CF2F83">
              <w:rPr>
                <w:i/>
                <w:iCs/>
                <w:sz w:val="24"/>
                <w:szCs w:val="24"/>
                <w:lang w:val="es-PY"/>
              </w:rPr>
              <w:t xml:space="preserve"> </w:t>
            </w:r>
          </w:p>
        </w:tc>
      </w:tr>
    </w:tbl>
    <w:p w14:paraId="204FD21A" w14:textId="3D1CC9A6" w:rsidR="00EA5F9B" w:rsidRPr="00BA4686" w:rsidRDefault="00EA5F9B" w:rsidP="00BA4686">
      <w:pPr>
        <w:shd w:val="clear" w:color="auto" w:fill="FFC000"/>
        <w:spacing w:before="240"/>
        <w:jc w:val="both"/>
        <w:rPr>
          <w:b/>
          <w:color w:val="000000" w:themeColor="text1"/>
          <w:sz w:val="24"/>
          <w:szCs w:val="24"/>
        </w:rPr>
      </w:pPr>
      <w:r w:rsidRPr="00BA4686">
        <w:rPr>
          <w:b/>
          <w:color w:val="000000" w:themeColor="text1"/>
          <w:sz w:val="24"/>
          <w:szCs w:val="24"/>
        </w:rPr>
        <w:t>ACTIVIDAD FORMATIVA</w:t>
      </w:r>
    </w:p>
    <w:p w14:paraId="313BEBC4" w14:textId="77777777" w:rsidR="00EA5F9B" w:rsidRPr="00BA4686" w:rsidRDefault="00EA5F9B" w:rsidP="00BA4686">
      <w:pPr>
        <w:shd w:val="clear" w:color="auto" w:fill="BDD6EE" w:themeFill="accent5" w:themeFillTint="66"/>
        <w:jc w:val="both"/>
        <w:rPr>
          <w:b/>
          <w:sz w:val="24"/>
          <w:szCs w:val="24"/>
        </w:rPr>
      </w:pPr>
      <w:r w:rsidRPr="00BA4686">
        <w:rPr>
          <w:b/>
          <w:sz w:val="24"/>
          <w:szCs w:val="24"/>
        </w:rPr>
        <w:t xml:space="preserve">Instrucción: </w:t>
      </w:r>
    </w:p>
    <w:p w14:paraId="62D07A25" w14:textId="77777777" w:rsidR="00EA5F9B" w:rsidRPr="00BA4686" w:rsidRDefault="00EA5F9B" w:rsidP="00BA4686">
      <w:pPr>
        <w:jc w:val="both"/>
        <w:rPr>
          <w:color w:val="000000" w:themeColor="text1"/>
          <w:sz w:val="24"/>
          <w:szCs w:val="24"/>
        </w:rPr>
      </w:pPr>
      <w:r w:rsidRPr="00BA4686">
        <w:rPr>
          <w:sz w:val="24"/>
          <w:szCs w:val="24"/>
        </w:rPr>
        <w:t>Para alcanzar los objetivos de aprendizaje propuestos, realiza las siguientes actividades en el orden indicado en esta guía.</w:t>
      </w:r>
    </w:p>
    <w:p w14:paraId="72EAC344" w14:textId="2CA63943" w:rsidR="00EA5F9B" w:rsidRPr="00BA4686" w:rsidRDefault="0035067C" w:rsidP="00BA4686">
      <w:pPr>
        <w:shd w:val="clear" w:color="auto" w:fill="BDD6EE" w:themeFill="accent5" w:themeFillTint="66"/>
        <w:jc w:val="both"/>
        <w:rPr>
          <w:b/>
          <w:color w:val="000000" w:themeColor="text1"/>
          <w:sz w:val="24"/>
          <w:szCs w:val="24"/>
        </w:rPr>
      </w:pPr>
      <w:r>
        <w:rPr>
          <w:b/>
          <w:color w:val="000000" w:themeColor="text1"/>
          <w:sz w:val="24"/>
          <w:szCs w:val="24"/>
        </w:rPr>
        <w:t xml:space="preserve">Frases, pensamientos &amp; </w:t>
      </w:r>
      <w:r w:rsidR="00EA5F9B" w:rsidRPr="00BA4686">
        <w:rPr>
          <w:b/>
          <w:color w:val="000000" w:themeColor="text1"/>
          <w:sz w:val="24"/>
          <w:szCs w:val="24"/>
        </w:rPr>
        <w:t xml:space="preserve">Recursos: </w:t>
      </w:r>
    </w:p>
    <w:p w14:paraId="6C28CB0F" w14:textId="28FBD005" w:rsidR="00EA5F9B" w:rsidRDefault="00EA5F9B" w:rsidP="00BA4686">
      <w:pPr>
        <w:spacing w:line="276" w:lineRule="auto"/>
        <w:jc w:val="both"/>
        <w:rPr>
          <w:b/>
          <w:color w:val="000000" w:themeColor="text1"/>
          <w:sz w:val="24"/>
          <w:szCs w:val="24"/>
        </w:rPr>
      </w:pPr>
    </w:p>
    <w:p w14:paraId="6E144964" w14:textId="673DE253" w:rsidR="00C72FB4" w:rsidRPr="00C72FB4" w:rsidRDefault="00C72FB4" w:rsidP="00C72FB4">
      <w:pPr>
        <w:pStyle w:val="Prrafodelista"/>
        <w:numPr>
          <w:ilvl w:val="0"/>
          <w:numId w:val="17"/>
        </w:numPr>
        <w:spacing w:line="276" w:lineRule="auto"/>
        <w:jc w:val="both"/>
        <w:rPr>
          <w:b/>
          <w:sz w:val="24"/>
          <w:szCs w:val="24"/>
        </w:rPr>
      </w:pPr>
      <w:r w:rsidRPr="00C72FB4">
        <w:rPr>
          <w:b/>
          <w:sz w:val="24"/>
          <w:szCs w:val="24"/>
        </w:rPr>
        <w:t xml:space="preserve">Introducción </w:t>
      </w:r>
    </w:p>
    <w:p w14:paraId="5F681114" w14:textId="7B5EE9F2" w:rsidR="00C72FB4" w:rsidRDefault="00C72FB4" w:rsidP="00BA4686">
      <w:pPr>
        <w:spacing w:line="276" w:lineRule="auto"/>
        <w:jc w:val="both"/>
        <w:rPr>
          <w:sz w:val="24"/>
          <w:szCs w:val="24"/>
        </w:rPr>
      </w:pPr>
      <w:r w:rsidRPr="00C72FB4">
        <w:rPr>
          <w:sz w:val="24"/>
          <w:szCs w:val="24"/>
        </w:rPr>
        <w:t xml:space="preserve">El filósofo y pedagogo </w:t>
      </w:r>
      <w:r w:rsidRPr="00C72FB4">
        <w:rPr>
          <w:b/>
          <w:i/>
          <w:sz w:val="24"/>
          <w:szCs w:val="24"/>
        </w:rPr>
        <w:t>John Dewey</w:t>
      </w:r>
      <w:r w:rsidRPr="00C72FB4">
        <w:rPr>
          <w:sz w:val="24"/>
          <w:szCs w:val="24"/>
        </w:rPr>
        <w:t xml:space="preserve"> (2014) afirmaba que «nadie puede escapar al problema de cómo </w:t>
      </w:r>
      <w:proofErr w:type="spellStart"/>
      <w:r w:rsidRPr="00C72FB4">
        <w:rPr>
          <w:sz w:val="24"/>
          <w:szCs w:val="24"/>
        </w:rPr>
        <w:t>com</w:t>
      </w:r>
      <w:proofErr w:type="spellEnd"/>
      <w:r w:rsidRPr="00C72FB4">
        <w:rPr>
          <w:sz w:val="24"/>
          <w:szCs w:val="24"/>
        </w:rPr>
        <w:t xml:space="preserve"> prometernos con la vida […] o, de lo contrario, deberá renunciar a la vida y abandonarla» (p. 95). La música es un elemento primordial en la vida de las personas y cómo nos comprometamos con ella puede marcar el rumbo de nuestra existencia. Así, la educación musical guarda el compromiso de formar al ser humano como tal y de transformar la sociedad (</w:t>
      </w:r>
      <w:proofErr w:type="spellStart"/>
      <w:r w:rsidRPr="00C72FB4">
        <w:rPr>
          <w:sz w:val="24"/>
          <w:szCs w:val="24"/>
        </w:rPr>
        <w:t>Jorgensen</w:t>
      </w:r>
      <w:proofErr w:type="spellEnd"/>
      <w:r w:rsidRPr="00C72FB4">
        <w:rPr>
          <w:sz w:val="24"/>
          <w:szCs w:val="24"/>
        </w:rPr>
        <w:t xml:space="preserve">, 2003). A este respecto, Fernández y Casas (2019) muestran la confusión y la falta de consenso en el uso de la palabra educación dentro de la enseñanza musical. La conclusión a la que llegan es que no se puede hablar de educación sin unos componentes morales que respondan al por qué y al para qué, dado que constituye una actividad ética. En la misma línea se encuentra </w:t>
      </w:r>
      <w:proofErr w:type="spellStart"/>
      <w:r w:rsidRPr="00C72FB4">
        <w:rPr>
          <w:sz w:val="24"/>
          <w:szCs w:val="24"/>
        </w:rPr>
        <w:t>Aróstegui</w:t>
      </w:r>
      <w:proofErr w:type="spellEnd"/>
      <w:r w:rsidRPr="00C72FB4">
        <w:rPr>
          <w:sz w:val="24"/>
          <w:szCs w:val="24"/>
        </w:rPr>
        <w:t xml:space="preserve"> (2011), quien describe la música educativa como una actividad moral y política; o </w:t>
      </w:r>
      <w:proofErr w:type="spellStart"/>
      <w:r w:rsidRPr="00C72FB4">
        <w:rPr>
          <w:sz w:val="24"/>
          <w:szCs w:val="24"/>
        </w:rPr>
        <w:t>Bowman</w:t>
      </w:r>
      <w:proofErr w:type="spellEnd"/>
      <w:r w:rsidRPr="00C72FB4">
        <w:rPr>
          <w:sz w:val="24"/>
          <w:szCs w:val="24"/>
        </w:rPr>
        <w:t xml:space="preserve"> (2012), quien incide en que hacer música puede ser una vía para reflexionar sobre el tipo de persona buena que puedo ser y cómo la música puede ayudar en esto No obstante, en el contexto de la educación musical, </w:t>
      </w:r>
      <w:proofErr w:type="spellStart"/>
      <w:r w:rsidRPr="00C72FB4">
        <w:rPr>
          <w:sz w:val="24"/>
          <w:szCs w:val="24"/>
        </w:rPr>
        <w:t>Touriñán</w:t>
      </w:r>
      <w:proofErr w:type="spellEnd"/>
      <w:r w:rsidRPr="00C72FB4">
        <w:rPr>
          <w:sz w:val="24"/>
          <w:szCs w:val="24"/>
        </w:rPr>
        <w:t xml:space="preserve"> y </w:t>
      </w:r>
      <w:proofErr w:type="spellStart"/>
      <w:r w:rsidRPr="00C72FB4">
        <w:rPr>
          <w:sz w:val="24"/>
          <w:szCs w:val="24"/>
        </w:rPr>
        <w:t>Longueira</w:t>
      </w:r>
      <w:proofErr w:type="spellEnd"/>
      <w:r w:rsidRPr="00C72FB4">
        <w:rPr>
          <w:sz w:val="24"/>
          <w:szCs w:val="24"/>
        </w:rPr>
        <w:t xml:space="preserve"> (2010) distinguen entre educación para la música, ubicada en conservatorios y escuelas de música, y con un objetivo de profesionalización, principalmente en especialidades instrumentales; y educación por la música, perteneciente al contexto de la educación general. En la segunda acepción, «como ámbito de educación, la música sirve a cada educando para usar y construir experiencias valiosas para su propia vida y formación integral desde la experiencia artística musical» (</w:t>
      </w:r>
      <w:proofErr w:type="spellStart"/>
      <w:r w:rsidRPr="00C72FB4">
        <w:rPr>
          <w:sz w:val="24"/>
          <w:szCs w:val="24"/>
        </w:rPr>
        <w:t>Touriñán</w:t>
      </w:r>
      <w:proofErr w:type="spellEnd"/>
      <w:r w:rsidRPr="00C72FB4">
        <w:rPr>
          <w:sz w:val="24"/>
          <w:szCs w:val="24"/>
        </w:rPr>
        <w:t xml:space="preserve"> y </w:t>
      </w:r>
      <w:proofErr w:type="spellStart"/>
      <w:r w:rsidRPr="00C72FB4">
        <w:rPr>
          <w:sz w:val="24"/>
          <w:szCs w:val="24"/>
        </w:rPr>
        <w:t>Longueira</w:t>
      </w:r>
      <w:proofErr w:type="spellEnd"/>
      <w:r w:rsidRPr="00C72FB4">
        <w:rPr>
          <w:sz w:val="24"/>
          <w:szCs w:val="24"/>
        </w:rPr>
        <w:t>, 2010, p.157).</w:t>
      </w:r>
    </w:p>
    <w:p w14:paraId="0341DB2F" w14:textId="77777777" w:rsidR="00F0617C" w:rsidRPr="00C72FB4" w:rsidRDefault="00F0617C" w:rsidP="00BA4686">
      <w:pPr>
        <w:spacing w:line="276" w:lineRule="auto"/>
        <w:jc w:val="both"/>
        <w:rPr>
          <w:sz w:val="24"/>
          <w:szCs w:val="24"/>
        </w:rPr>
      </w:pPr>
    </w:p>
    <w:p w14:paraId="51A90DFD" w14:textId="77777777" w:rsidR="00C72FB4" w:rsidRPr="00C72FB4" w:rsidRDefault="00C72FB4" w:rsidP="00C72FB4">
      <w:pPr>
        <w:spacing w:line="276" w:lineRule="auto"/>
        <w:ind w:firstLine="708"/>
        <w:jc w:val="both"/>
        <w:rPr>
          <w:b/>
          <w:sz w:val="24"/>
          <w:szCs w:val="24"/>
        </w:rPr>
      </w:pPr>
      <w:r w:rsidRPr="00C72FB4">
        <w:rPr>
          <w:b/>
          <w:sz w:val="24"/>
          <w:szCs w:val="24"/>
        </w:rPr>
        <w:t xml:space="preserve">2. Educación del carácter: una aproximación aristotélica a las necesidades educativas de hoy </w:t>
      </w:r>
    </w:p>
    <w:p w14:paraId="570360F7" w14:textId="77777777" w:rsidR="00C72FB4" w:rsidRDefault="00C72FB4" w:rsidP="00BA4686">
      <w:pPr>
        <w:spacing w:line="276" w:lineRule="auto"/>
        <w:jc w:val="both"/>
        <w:rPr>
          <w:sz w:val="24"/>
          <w:szCs w:val="24"/>
        </w:rPr>
      </w:pPr>
    </w:p>
    <w:p w14:paraId="1EFD268D" w14:textId="6BB052A6" w:rsidR="00C72FB4" w:rsidRDefault="00C72FB4" w:rsidP="00BA4686">
      <w:pPr>
        <w:spacing w:line="276" w:lineRule="auto"/>
        <w:jc w:val="both"/>
        <w:rPr>
          <w:sz w:val="24"/>
          <w:szCs w:val="24"/>
        </w:rPr>
      </w:pPr>
      <w:r w:rsidRPr="00C72FB4">
        <w:rPr>
          <w:sz w:val="24"/>
          <w:szCs w:val="24"/>
        </w:rPr>
        <w:t>Definir la educación del carácter (EC) es una tarea compleja (</w:t>
      </w:r>
      <w:proofErr w:type="spellStart"/>
      <w:r w:rsidRPr="00C72FB4">
        <w:rPr>
          <w:sz w:val="24"/>
          <w:szCs w:val="24"/>
        </w:rPr>
        <w:t>Berkowitz</w:t>
      </w:r>
      <w:proofErr w:type="spellEnd"/>
      <w:r w:rsidRPr="00C72FB4">
        <w:rPr>
          <w:sz w:val="24"/>
          <w:szCs w:val="24"/>
        </w:rPr>
        <w:t xml:space="preserve"> y </w:t>
      </w:r>
      <w:proofErr w:type="spellStart"/>
      <w:r>
        <w:rPr>
          <w:sz w:val="24"/>
          <w:szCs w:val="24"/>
        </w:rPr>
        <w:t>Bier</w:t>
      </w:r>
      <w:proofErr w:type="spellEnd"/>
      <w:r>
        <w:rPr>
          <w:sz w:val="24"/>
          <w:szCs w:val="24"/>
        </w:rPr>
        <w:t>, 2005). Se trata de un con</w:t>
      </w:r>
      <w:r w:rsidRPr="00C72FB4">
        <w:rPr>
          <w:sz w:val="24"/>
          <w:szCs w:val="24"/>
        </w:rPr>
        <w:t>cepto paraguas don</w:t>
      </w:r>
      <w:r>
        <w:rPr>
          <w:sz w:val="24"/>
          <w:szCs w:val="24"/>
        </w:rPr>
        <w:t>de tienen cabida una gran canti</w:t>
      </w:r>
      <w:r w:rsidRPr="00C72FB4">
        <w:rPr>
          <w:sz w:val="24"/>
          <w:szCs w:val="24"/>
        </w:rPr>
        <w:t>dad de iniciativas, como la educación de las virtudes, la educación en valores</w:t>
      </w:r>
      <w:r>
        <w:rPr>
          <w:sz w:val="24"/>
          <w:szCs w:val="24"/>
        </w:rPr>
        <w:t xml:space="preserve"> o la educación para la ciudada</w:t>
      </w:r>
      <w:r w:rsidRPr="00C72FB4">
        <w:rPr>
          <w:sz w:val="24"/>
          <w:szCs w:val="24"/>
        </w:rPr>
        <w:t xml:space="preserve">nía (Bernal et al., 2015; Fuentes, 2018). </w:t>
      </w:r>
      <w:proofErr w:type="spellStart"/>
      <w:r w:rsidRPr="00C72FB4">
        <w:rPr>
          <w:sz w:val="24"/>
          <w:szCs w:val="24"/>
        </w:rPr>
        <w:t>Duckworth</w:t>
      </w:r>
      <w:proofErr w:type="spellEnd"/>
      <w:r w:rsidRPr="00C72FB4">
        <w:rPr>
          <w:sz w:val="24"/>
          <w:szCs w:val="24"/>
        </w:rPr>
        <w:t xml:space="preserve"> y </w:t>
      </w:r>
      <w:proofErr w:type="spellStart"/>
      <w:r w:rsidRPr="00C72FB4">
        <w:rPr>
          <w:sz w:val="24"/>
          <w:szCs w:val="24"/>
        </w:rPr>
        <w:t>Meindl</w:t>
      </w:r>
      <w:proofErr w:type="spellEnd"/>
      <w:r w:rsidRPr="00C72FB4">
        <w:rPr>
          <w:sz w:val="24"/>
          <w:szCs w:val="24"/>
        </w:rPr>
        <w:t xml:space="preserve"> (2018) cuestionan, incluso, la rele</w:t>
      </w:r>
      <w:r>
        <w:rPr>
          <w:sz w:val="24"/>
          <w:szCs w:val="24"/>
        </w:rPr>
        <w:t>vancia de defi</w:t>
      </w:r>
      <w:r w:rsidRPr="00C72FB4">
        <w:rPr>
          <w:sz w:val="24"/>
          <w:szCs w:val="24"/>
        </w:rPr>
        <w:t>nirlo, pues puede implicar un reduccionismo excesivo y una simplificación de su alcance. Aunque aseguran que focalizar la acción educativa de un modo intencional y deliberado es preferib</w:t>
      </w:r>
      <w:r>
        <w:rPr>
          <w:sz w:val="24"/>
          <w:szCs w:val="24"/>
        </w:rPr>
        <w:t>le, no ven necesario que sea es</w:t>
      </w:r>
      <w:r w:rsidRPr="00C72FB4">
        <w:rPr>
          <w:sz w:val="24"/>
          <w:szCs w:val="24"/>
        </w:rPr>
        <w:t>tructurada y esté localiz</w:t>
      </w:r>
      <w:r>
        <w:rPr>
          <w:sz w:val="24"/>
          <w:szCs w:val="24"/>
        </w:rPr>
        <w:t>ada en la escuela. Por estos mo</w:t>
      </w:r>
      <w:r w:rsidRPr="00C72FB4">
        <w:rPr>
          <w:sz w:val="24"/>
          <w:szCs w:val="24"/>
        </w:rPr>
        <w:t>tivos, también es complicado consolidar una definición válida para todos los contextos (</w:t>
      </w:r>
      <w:proofErr w:type="spellStart"/>
      <w:r w:rsidRPr="00C72FB4">
        <w:rPr>
          <w:sz w:val="24"/>
          <w:szCs w:val="24"/>
        </w:rPr>
        <w:t>Lickona</w:t>
      </w:r>
      <w:proofErr w:type="spellEnd"/>
      <w:r w:rsidRPr="00C72FB4">
        <w:rPr>
          <w:sz w:val="24"/>
          <w:szCs w:val="24"/>
        </w:rPr>
        <w:t>, 2018)</w:t>
      </w:r>
      <w:r>
        <w:rPr>
          <w:sz w:val="24"/>
          <w:szCs w:val="24"/>
        </w:rPr>
        <w:t xml:space="preserve"> </w:t>
      </w:r>
    </w:p>
    <w:p w14:paraId="665FAACE" w14:textId="7FFB2A7F" w:rsidR="00C72FB4" w:rsidRDefault="00C72FB4" w:rsidP="00BA4686">
      <w:pPr>
        <w:spacing w:line="276" w:lineRule="auto"/>
        <w:jc w:val="both"/>
        <w:rPr>
          <w:sz w:val="24"/>
          <w:szCs w:val="24"/>
        </w:rPr>
      </w:pPr>
      <w:r w:rsidRPr="00C72FB4">
        <w:rPr>
          <w:sz w:val="24"/>
          <w:szCs w:val="24"/>
        </w:rPr>
        <w:t>No obstante, en poc</w:t>
      </w:r>
      <w:r>
        <w:rPr>
          <w:sz w:val="24"/>
          <w:szCs w:val="24"/>
        </w:rPr>
        <w:t>as palabras, este modo de enten</w:t>
      </w:r>
      <w:r w:rsidRPr="00C72FB4">
        <w:rPr>
          <w:sz w:val="24"/>
          <w:szCs w:val="24"/>
        </w:rPr>
        <w:t>der la educación podr</w:t>
      </w:r>
      <w:r>
        <w:rPr>
          <w:sz w:val="24"/>
          <w:szCs w:val="24"/>
        </w:rPr>
        <w:t>ía resumirse en «conocer lo bue</w:t>
      </w:r>
      <w:r w:rsidRPr="00C72FB4">
        <w:rPr>
          <w:sz w:val="24"/>
          <w:szCs w:val="24"/>
        </w:rPr>
        <w:t>no, desear lo bueno y hacer lo bueno» (</w:t>
      </w:r>
      <w:proofErr w:type="spellStart"/>
      <w:r w:rsidRPr="00C72FB4">
        <w:rPr>
          <w:sz w:val="24"/>
          <w:szCs w:val="24"/>
        </w:rPr>
        <w:t>Lickona</w:t>
      </w:r>
      <w:proofErr w:type="spellEnd"/>
      <w:r w:rsidRPr="00C72FB4">
        <w:rPr>
          <w:sz w:val="24"/>
          <w:szCs w:val="24"/>
        </w:rPr>
        <w:t xml:space="preserve">, 1999, p. 140). La EC pretende que el </w:t>
      </w:r>
      <w:proofErr w:type="spellStart"/>
      <w:r w:rsidRPr="00C72FB4">
        <w:rPr>
          <w:sz w:val="24"/>
          <w:szCs w:val="24"/>
        </w:rPr>
        <w:t>ethos</w:t>
      </w:r>
      <w:proofErr w:type="spellEnd"/>
      <w:r w:rsidRPr="00C72FB4">
        <w:rPr>
          <w:sz w:val="24"/>
          <w:szCs w:val="24"/>
        </w:rPr>
        <w:t xml:space="preserve"> de la comunidad esté comprometido con una serie de valores morales, virtudes y conductas éticas donde todos participen por el bien común. La comunidad educativa se ve involucra da al completo y el profesorado juega un papel crucial en la promoción del carácter virtuoso (</w:t>
      </w:r>
      <w:proofErr w:type="spellStart"/>
      <w:r w:rsidRPr="00C72FB4">
        <w:rPr>
          <w:sz w:val="24"/>
          <w:szCs w:val="24"/>
        </w:rPr>
        <w:t>Berkowitz</w:t>
      </w:r>
      <w:proofErr w:type="spellEnd"/>
      <w:r w:rsidRPr="00C72FB4">
        <w:rPr>
          <w:sz w:val="24"/>
          <w:szCs w:val="24"/>
        </w:rPr>
        <w:t xml:space="preserve"> y </w:t>
      </w:r>
      <w:proofErr w:type="spellStart"/>
      <w:r w:rsidRPr="00C72FB4">
        <w:rPr>
          <w:sz w:val="24"/>
          <w:szCs w:val="24"/>
        </w:rPr>
        <w:t>Bier</w:t>
      </w:r>
      <w:proofErr w:type="spellEnd"/>
      <w:r w:rsidRPr="00C72FB4">
        <w:rPr>
          <w:sz w:val="24"/>
          <w:szCs w:val="24"/>
        </w:rPr>
        <w:t>, 2005), en cuanto que la figura del educador debe servir de ejemplo moral mediante las acciones que se lleven a cabo en el aula y fuera de ella (McGrath, 2018). Así, es de suma importancia la colectividad y su cuidado, y, por lo tanto, se exige una responsabilidad individual en favor de un bien común (</w:t>
      </w:r>
      <w:proofErr w:type="spellStart"/>
      <w:r w:rsidRPr="00C72FB4">
        <w:rPr>
          <w:sz w:val="24"/>
          <w:szCs w:val="24"/>
        </w:rPr>
        <w:t>The</w:t>
      </w:r>
      <w:proofErr w:type="spellEnd"/>
      <w:r w:rsidRPr="00C72FB4">
        <w:rPr>
          <w:sz w:val="24"/>
          <w:szCs w:val="24"/>
        </w:rPr>
        <w:t xml:space="preserve"> </w:t>
      </w:r>
      <w:proofErr w:type="spellStart"/>
      <w:r w:rsidRPr="00C72FB4">
        <w:rPr>
          <w:sz w:val="24"/>
          <w:szCs w:val="24"/>
        </w:rPr>
        <w:t>Jubilee</w:t>
      </w:r>
      <w:proofErr w:type="spellEnd"/>
      <w:r w:rsidRPr="00C72FB4">
        <w:rPr>
          <w:sz w:val="24"/>
          <w:szCs w:val="24"/>
        </w:rPr>
        <w:t xml:space="preserve"> Centre </w:t>
      </w:r>
      <w:proofErr w:type="spellStart"/>
      <w:r w:rsidRPr="00C72FB4">
        <w:rPr>
          <w:sz w:val="24"/>
          <w:szCs w:val="24"/>
        </w:rPr>
        <w:t>for</w:t>
      </w:r>
      <w:proofErr w:type="spellEnd"/>
      <w:r w:rsidRPr="00C72FB4">
        <w:rPr>
          <w:sz w:val="24"/>
          <w:szCs w:val="24"/>
        </w:rPr>
        <w:t xml:space="preserve"> </w:t>
      </w:r>
      <w:proofErr w:type="spellStart"/>
      <w:r w:rsidRPr="00C72FB4">
        <w:rPr>
          <w:sz w:val="24"/>
          <w:szCs w:val="24"/>
        </w:rPr>
        <w:t>Charac</w:t>
      </w:r>
      <w:proofErr w:type="spellEnd"/>
      <w:r w:rsidRPr="00C72FB4">
        <w:rPr>
          <w:sz w:val="24"/>
          <w:szCs w:val="24"/>
        </w:rPr>
        <w:t xml:space="preserve"> ter and </w:t>
      </w:r>
      <w:proofErr w:type="spellStart"/>
      <w:r w:rsidRPr="00C72FB4">
        <w:rPr>
          <w:sz w:val="24"/>
          <w:szCs w:val="24"/>
        </w:rPr>
        <w:t>Virtues</w:t>
      </w:r>
      <w:proofErr w:type="spellEnd"/>
      <w:r w:rsidRPr="00C72FB4">
        <w:rPr>
          <w:sz w:val="24"/>
          <w:szCs w:val="24"/>
        </w:rPr>
        <w:t xml:space="preserve">, 2017; </w:t>
      </w:r>
      <w:proofErr w:type="spellStart"/>
      <w:r w:rsidRPr="00C72FB4">
        <w:rPr>
          <w:sz w:val="24"/>
          <w:szCs w:val="24"/>
        </w:rPr>
        <w:t>Lickona</w:t>
      </w:r>
      <w:proofErr w:type="spellEnd"/>
      <w:r w:rsidRPr="00C72FB4">
        <w:rPr>
          <w:sz w:val="24"/>
          <w:szCs w:val="24"/>
        </w:rPr>
        <w:t>, 1999)</w:t>
      </w:r>
    </w:p>
    <w:p w14:paraId="67BBB227" w14:textId="77777777" w:rsidR="00C72FB4" w:rsidRDefault="00C72FB4" w:rsidP="00BA4686">
      <w:pPr>
        <w:spacing w:line="276" w:lineRule="auto"/>
        <w:jc w:val="both"/>
      </w:pPr>
    </w:p>
    <w:p w14:paraId="619A37E8" w14:textId="4588CAA9" w:rsidR="00C72FB4" w:rsidRDefault="00C72FB4" w:rsidP="00BA4686">
      <w:pPr>
        <w:spacing w:line="276" w:lineRule="auto"/>
        <w:jc w:val="both"/>
        <w:rPr>
          <w:sz w:val="24"/>
          <w:szCs w:val="24"/>
        </w:rPr>
      </w:pPr>
      <w:r w:rsidRPr="00C72FB4">
        <w:rPr>
          <w:sz w:val="24"/>
          <w:szCs w:val="24"/>
        </w:rPr>
        <w:t>Por otro lado, los rasgos que delimitan la concepción actual de la EC son aspect</w:t>
      </w:r>
      <w:r>
        <w:rPr>
          <w:sz w:val="24"/>
          <w:szCs w:val="24"/>
        </w:rPr>
        <w:t>os éticos provenientes de la fi</w:t>
      </w:r>
      <w:r w:rsidRPr="00C72FB4">
        <w:rPr>
          <w:sz w:val="24"/>
          <w:szCs w:val="24"/>
        </w:rPr>
        <w:t>losofía de Aristóteles (</w:t>
      </w:r>
      <w:proofErr w:type="spellStart"/>
      <w:r w:rsidRPr="00C72FB4">
        <w:rPr>
          <w:sz w:val="24"/>
          <w:szCs w:val="24"/>
        </w:rPr>
        <w:t>Kristjànsson</w:t>
      </w:r>
      <w:proofErr w:type="spellEnd"/>
      <w:r w:rsidRPr="00C72FB4">
        <w:rPr>
          <w:sz w:val="24"/>
          <w:szCs w:val="24"/>
        </w:rPr>
        <w:t xml:space="preserve">, 2015), de la que </w:t>
      </w:r>
      <w:r w:rsidR="00F43A73">
        <w:rPr>
          <w:sz w:val="24"/>
          <w:szCs w:val="24"/>
        </w:rPr>
        <w:t>ema</w:t>
      </w:r>
      <w:r w:rsidRPr="00C72FB4">
        <w:rPr>
          <w:sz w:val="24"/>
          <w:szCs w:val="24"/>
        </w:rPr>
        <w:t>nan diferentes conceptos y significados fundamentales como son el carácter, la virtud, la prudencia, la felicidad o el florecimiento (Vargas y González-Torres, 2009). Así, desde una visión aristotél</w:t>
      </w:r>
      <w:r w:rsidR="00F43A73">
        <w:rPr>
          <w:sz w:val="24"/>
          <w:szCs w:val="24"/>
        </w:rPr>
        <w:t>ica, se puede afirmar que la ac</w:t>
      </w:r>
      <w:r w:rsidRPr="00C72FB4">
        <w:rPr>
          <w:sz w:val="24"/>
          <w:szCs w:val="24"/>
        </w:rPr>
        <w:t>tividad humana tiende a un fin propio de su naturaleza, el bien último (</w:t>
      </w:r>
      <w:proofErr w:type="spellStart"/>
      <w:r w:rsidRPr="00C72FB4">
        <w:rPr>
          <w:sz w:val="24"/>
          <w:szCs w:val="24"/>
        </w:rPr>
        <w:t>Höffe</w:t>
      </w:r>
      <w:proofErr w:type="spellEnd"/>
      <w:r w:rsidRPr="00C72FB4">
        <w:rPr>
          <w:sz w:val="24"/>
          <w:szCs w:val="24"/>
        </w:rPr>
        <w:t xml:space="preserve">, 2008). Se trata de «una actividad del alma de acuerdo con la virtud y, si las virtudes son varias, de acuerdo con la mejor y más perfecta, y, </w:t>
      </w:r>
      <w:proofErr w:type="spellStart"/>
      <w:r w:rsidRPr="00C72FB4">
        <w:rPr>
          <w:sz w:val="24"/>
          <w:szCs w:val="24"/>
        </w:rPr>
        <w:t>ade</w:t>
      </w:r>
      <w:proofErr w:type="spellEnd"/>
      <w:r w:rsidRPr="00C72FB4">
        <w:rPr>
          <w:sz w:val="24"/>
          <w:szCs w:val="24"/>
        </w:rPr>
        <w:t xml:space="preserve"> más, en una vida entera» (Aristóteles, 2010, p. 36). Este bien último trasciende l</w:t>
      </w:r>
      <w:r w:rsidR="00F43A73">
        <w:rPr>
          <w:sz w:val="24"/>
          <w:szCs w:val="24"/>
        </w:rPr>
        <w:t>a vida individual cuando se asu</w:t>
      </w:r>
      <w:r w:rsidRPr="00C72FB4">
        <w:rPr>
          <w:sz w:val="24"/>
          <w:szCs w:val="24"/>
        </w:rPr>
        <w:t>me que es inseparable de</w:t>
      </w:r>
      <w:r w:rsidR="00F43A73">
        <w:rPr>
          <w:sz w:val="24"/>
          <w:szCs w:val="24"/>
        </w:rPr>
        <w:t>l bien común; según el estagiri</w:t>
      </w:r>
      <w:r w:rsidRPr="00C72FB4">
        <w:rPr>
          <w:sz w:val="24"/>
          <w:szCs w:val="24"/>
        </w:rPr>
        <w:t xml:space="preserve">ta, el bien último «es más hermoso y divino conseguirlo para un pueblo y las ciudades» (Aristóteles, 2010, p. 25). Pero ¿cuál es ese bien superior estable y perdurable en la vida? La </w:t>
      </w:r>
      <w:proofErr w:type="spellStart"/>
      <w:r w:rsidRPr="00C72FB4">
        <w:rPr>
          <w:sz w:val="24"/>
          <w:szCs w:val="24"/>
        </w:rPr>
        <w:t>eudaimonia</w:t>
      </w:r>
      <w:proofErr w:type="spellEnd"/>
      <w:r w:rsidRPr="00C72FB4">
        <w:rPr>
          <w:sz w:val="24"/>
          <w:szCs w:val="24"/>
        </w:rPr>
        <w:t xml:space="preserve">. </w:t>
      </w:r>
      <w:proofErr w:type="spellStart"/>
      <w:r w:rsidRPr="00C72FB4">
        <w:rPr>
          <w:sz w:val="24"/>
          <w:szCs w:val="24"/>
        </w:rPr>
        <w:t>MacIntyre</w:t>
      </w:r>
      <w:proofErr w:type="spellEnd"/>
      <w:r w:rsidRPr="00C72FB4">
        <w:rPr>
          <w:sz w:val="24"/>
          <w:szCs w:val="24"/>
        </w:rPr>
        <w:t xml:space="preserve"> (1987) la define como bienaventuranza, felicidad, prosperidad, el gozo en la vida humana, y Barnes (1999) la identifica con un proceso, el de florecer, «hacer un éxito de la propia vida» (p. 130). Dicho proceso se</w:t>
      </w:r>
      <w:r w:rsidR="00F43A73">
        <w:rPr>
          <w:sz w:val="24"/>
          <w:szCs w:val="24"/>
        </w:rPr>
        <w:t xml:space="preserve"> actualiza por medio de las vir</w:t>
      </w:r>
      <w:r w:rsidRPr="00C72FB4">
        <w:rPr>
          <w:sz w:val="24"/>
          <w:szCs w:val="24"/>
        </w:rPr>
        <w:t xml:space="preserve">tudes y se apoya en el concepto de bien al que se acoja el individuo y su comunidad. Este proceder se distingue por la excelencia, por realizar aquello que proporcionará gozo debido a su grado excelso de bondad (Barnes, 1999; </w:t>
      </w:r>
      <w:proofErr w:type="spellStart"/>
      <w:r w:rsidRPr="00C72FB4">
        <w:rPr>
          <w:sz w:val="24"/>
          <w:szCs w:val="24"/>
        </w:rPr>
        <w:t>MacIntyre</w:t>
      </w:r>
      <w:proofErr w:type="spellEnd"/>
      <w:r w:rsidRPr="00C72FB4">
        <w:rPr>
          <w:sz w:val="24"/>
          <w:szCs w:val="24"/>
        </w:rPr>
        <w:t xml:space="preserve">, 1987). En conclusión, el bien supremo no se trata de una posesión, sino de un modo </w:t>
      </w:r>
      <w:r w:rsidR="00F43A73">
        <w:rPr>
          <w:sz w:val="24"/>
          <w:szCs w:val="24"/>
        </w:rPr>
        <w:t>de vida: «el hom</w:t>
      </w:r>
      <w:r w:rsidRPr="00C72FB4">
        <w:rPr>
          <w:sz w:val="24"/>
          <w:szCs w:val="24"/>
        </w:rPr>
        <w:t>bre feliz vive bien y obra bien» (Aristóteles, 2010, p. 37). Además, el carácte</w:t>
      </w:r>
      <w:r w:rsidR="00F43A73">
        <w:rPr>
          <w:sz w:val="24"/>
          <w:szCs w:val="24"/>
        </w:rPr>
        <w:t>r se compone de múltiples virtu</w:t>
      </w:r>
      <w:r w:rsidRPr="00C72FB4">
        <w:rPr>
          <w:sz w:val="24"/>
          <w:szCs w:val="24"/>
        </w:rPr>
        <w:t xml:space="preserve">des interdependientes que sirven al individuo y al bien común. La virtud, o </w:t>
      </w:r>
      <w:proofErr w:type="spellStart"/>
      <w:r w:rsidRPr="00C72FB4">
        <w:rPr>
          <w:sz w:val="24"/>
          <w:szCs w:val="24"/>
        </w:rPr>
        <w:t>areté</w:t>
      </w:r>
      <w:proofErr w:type="spellEnd"/>
      <w:r w:rsidRPr="00C72FB4">
        <w:rPr>
          <w:sz w:val="24"/>
          <w:szCs w:val="24"/>
        </w:rPr>
        <w:t xml:space="preserve">, para Aristóteles, adquiere un significado similar al de bondad o excelencia (Barnes, 1999). Son hábitos positivos y estables que mejoran el sentido y la percepción de quién es uno y quién puede llegar a ser (McGrath, 2018). </w:t>
      </w:r>
      <w:proofErr w:type="spellStart"/>
      <w:r w:rsidRPr="00C72FB4">
        <w:rPr>
          <w:sz w:val="24"/>
          <w:szCs w:val="24"/>
        </w:rPr>
        <w:t>Sanderse</w:t>
      </w:r>
      <w:proofErr w:type="spellEnd"/>
      <w:r w:rsidRPr="00C72FB4">
        <w:rPr>
          <w:sz w:val="24"/>
          <w:szCs w:val="24"/>
        </w:rPr>
        <w:t xml:space="preserve"> (2015) describe la vida virtuosa como un tipo de vida autosuficiente en la que el hábito adquiere una dimensión normativa. No obstante, en su condició</w:t>
      </w:r>
      <w:r w:rsidR="00F43A73">
        <w:rPr>
          <w:sz w:val="24"/>
          <w:szCs w:val="24"/>
        </w:rPr>
        <w:t>n de hábito, la ética de la vir</w:t>
      </w:r>
      <w:r w:rsidRPr="00C72FB4">
        <w:rPr>
          <w:sz w:val="24"/>
          <w:szCs w:val="24"/>
        </w:rPr>
        <w:t>tud podría reducirse a una visión mecanicista (Jiménez, 2016); por eso, la meta</w:t>
      </w:r>
      <w:r w:rsidR="00F43A73">
        <w:rPr>
          <w:sz w:val="24"/>
          <w:szCs w:val="24"/>
        </w:rPr>
        <w:t>-virtud reguladora de la pruden</w:t>
      </w:r>
      <w:r w:rsidRPr="00C72FB4">
        <w:rPr>
          <w:sz w:val="24"/>
          <w:szCs w:val="24"/>
        </w:rPr>
        <w:t>cia (</w:t>
      </w:r>
      <w:proofErr w:type="spellStart"/>
      <w:r w:rsidRPr="00C72FB4">
        <w:rPr>
          <w:sz w:val="24"/>
          <w:szCs w:val="24"/>
        </w:rPr>
        <w:t>phronesis</w:t>
      </w:r>
      <w:proofErr w:type="spellEnd"/>
      <w:r w:rsidRPr="00C72FB4">
        <w:rPr>
          <w:sz w:val="24"/>
          <w:szCs w:val="24"/>
        </w:rPr>
        <w:t>) es determinante (</w:t>
      </w:r>
      <w:proofErr w:type="spellStart"/>
      <w:r w:rsidRPr="00C72FB4">
        <w:rPr>
          <w:sz w:val="24"/>
          <w:szCs w:val="24"/>
        </w:rPr>
        <w:t>Burbules</w:t>
      </w:r>
      <w:proofErr w:type="spellEnd"/>
      <w:r w:rsidRPr="00C72FB4">
        <w:rPr>
          <w:sz w:val="24"/>
          <w:szCs w:val="24"/>
        </w:rPr>
        <w:t>, 2019). De este modo, las virtudes son disposiciones y maneras de actuar que permiten a</w:t>
      </w:r>
      <w:r w:rsidR="00F43A73">
        <w:rPr>
          <w:sz w:val="24"/>
          <w:szCs w:val="24"/>
        </w:rPr>
        <w:t xml:space="preserve">l individuo alcanzar la </w:t>
      </w:r>
      <w:proofErr w:type="spellStart"/>
      <w:r w:rsidR="00F43A73">
        <w:rPr>
          <w:sz w:val="24"/>
          <w:szCs w:val="24"/>
        </w:rPr>
        <w:t>eudaimo</w:t>
      </w:r>
      <w:r w:rsidRPr="00C72FB4">
        <w:rPr>
          <w:sz w:val="24"/>
          <w:szCs w:val="24"/>
        </w:rPr>
        <w:t>nia</w:t>
      </w:r>
      <w:proofErr w:type="spellEnd"/>
      <w:r w:rsidRPr="00C72FB4">
        <w:rPr>
          <w:sz w:val="24"/>
          <w:szCs w:val="24"/>
        </w:rPr>
        <w:t>, lo que requiere el uso de la razón para decidir sobre los medios «en el lugar correcto, en el momento correcto y de la forma correcta» (</w:t>
      </w:r>
      <w:proofErr w:type="spellStart"/>
      <w:r w:rsidRPr="00C72FB4">
        <w:rPr>
          <w:sz w:val="24"/>
          <w:szCs w:val="24"/>
        </w:rPr>
        <w:t>MacIntyre</w:t>
      </w:r>
      <w:proofErr w:type="spellEnd"/>
      <w:r w:rsidRPr="00C72FB4">
        <w:rPr>
          <w:sz w:val="24"/>
          <w:szCs w:val="24"/>
        </w:rPr>
        <w:t>, 1987, p. 190).</w:t>
      </w:r>
    </w:p>
    <w:p w14:paraId="5B7B98C0" w14:textId="77777777" w:rsidR="00F43A73" w:rsidRDefault="00F43A73" w:rsidP="00BA4686">
      <w:pPr>
        <w:spacing w:line="276" w:lineRule="auto"/>
        <w:jc w:val="both"/>
      </w:pPr>
    </w:p>
    <w:p w14:paraId="2BD39B60" w14:textId="136B16CB" w:rsidR="00F43A73" w:rsidRPr="00F43A73" w:rsidRDefault="00F43A73" w:rsidP="00BA4686">
      <w:pPr>
        <w:spacing w:line="276" w:lineRule="auto"/>
        <w:jc w:val="both"/>
        <w:rPr>
          <w:b/>
          <w:color w:val="000000" w:themeColor="text1"/>
          <w:sz w:val="24"/>
          <w:szCs w:val="24"/>
        </w:rPr>
      </w:pPr>
      <w:r w:rsidRPr="00F43A73">
        <w:rPr>
          <w:sz w:val="24"/>
          <w:szCs w:val="24"/>
        </w:rPr>
        <w:t xml:space="preserve">Así pues, la formación de un buen carácter se en tiende como un tipo de desarrollo integral del ser </w:t>
      </w:r>
      <w:proofErr w:type="spellStart"/>
      <w:r w:rsidRPr="00F43A73">
        <w:rPr>
          <w:sz w:val="24"/>
          <w:szCs w:val="24"/>
        </w:rPr>
        <w:t>hu</w:t>
      </w:r>
      <w:proofErr w:type="spellEnd"/>
      <w:r w:rsidRPr="00F43A73">
        <w:rPr>
          <w:sz w:val="24"/>
          <w:szCs w:val="24"/>
        </w:rPr>
        <w:t xml:space="preserve"> mano, condición que comparte con la educación musical actual (Fernández y Casas, 2019; Castro, 2014; </w:t>
      </w:r>
      <w:proofErr w:type="spellStart"/>
      <w:r w:rsidRPr="00F43A73">
        <w:rPr>
          <w:sz w:val="24"/>
          <w:szCs w:val="24"/>
        </w:rPr>
        <w:t>Cuscó</w:t>
      </w:r>
      <w:proofErr w:type="spellEnd"/>
      <w:r w:rsidRPr="00F43A73">
        <w:rPr>
          <w:sz w:val="24"/>
          <w:szCs w:val="24"/>
        </w:rPr>
        <w:t xml:space="preserve">, 2013; </w:t>
      </w:r>
      <w:proofErr w:type="spellStart"/>
      <w:r w:rsidRPr="00F43A73">
        <w:rPr>
          <w:sz w:val="24"/>
          <w:szCs w:val="24"/>
        </w:rPr>
        <w:t>Touriñán</w:t>
      </w:r>
      <w:proofErr w:type="spellEnd"/>
      <w:r w:rsidRPr="00F43A73">
        <w:rPr>
          <w:sz w:val="24"/>
          <w:szCs w:val="24"/>
        </w:rPr>
        <w:t xml:space="preserve"> y </w:t>
      </w:r>
      <w:proofErr w:type="spellStart"/>
      <w:r w:rsidRPr="00F43A73">
        <w:rPr>
          <w:sz w:val="24"/>
          <w:szCs w:val="24"/>
        </w:rPr>
        <w:t>Longueira</w:t>
      </w:r>
      <w:proofErr w:type="spellEnd"/>
      <w:r w:rsidRPr="00F43A73">
        <w:rPr>
          <w:sz w:val="24"/>
          <w:szCs w:val="24"/>
        </w:rPr>
        <w:t>, 2010; Jorquera, 2006; Vi lar, 2004). Se trata de aprender a vivir en comunidad por un bien último comp</w:t>
      </w:r>
      <w:r>
        <w:rPr>
          <w:sz w:val="24"/>
          <w:szCs w:val="24"/>
        </w:rPr>
        <w:t>artido, desde la actividad indi</w:t>
      </w:r>
      <w:r w:rsidRPr="00F43A73">
        <w:rPr>
          <w:sz w:val="24"/>
          <w:szCs w:val="24"/>
        </w:rPr>
        <w:t>vidual guiada por la razón y la prudencia. De lo dicho, la cuestión que surge es si la enseñanza de la práctica instrumental especializ</w:t>
      </w:r>
      <w:r>
        <w:rPr>
          <w:sz w:val="24"/>
          <w:szCs w:val="24"/>
        </w:rPr>
        <w:t>ada es capaz de adoptar los mis</w:t>
      </w:r>
      <w:r w:rsidRPr="00F43A73">
        <w:rPr>
          <w:sz w:val="24"/>
          <w:szCs w:val="24"/>
        </w:rPr>
        <w:t>mos principios éticos y cómo podría hacerlo. 3. Propuesta de una ética-práctica para la práctica instrumental especializada Como se ha mostrado,</w:t>
      </w:r>
      <w:r>
        <w:rPr>
          <w:sz w:val="24"/>
          <w:szCs w:val="24"/>
        </w:rPr>
        <w:t xml:space="preserve"> la ética de Aristóteles es fun</w:t>
      </w:r>
      <w:r w:rsidRPr="00F43A73">
        <w:rPr>
          <w:sz w:val="24"/>
          <w:szCs w:val="24"/>
        </w:rPr>
        <w:t>damental en el desarrollo de la EC, y, al mismo tiempo, compatible con la educación musical. Sin embargo, es necesario aclarar cómo l</w:t>
      </w:r>
      <w:r>
        <w:rPr>
          <w:sz w:val="24"/>
          <w:szCs w:val="24"/>
        </w:rPr>
        <w:t>a práctica instrumental especia</w:t>
      </w:r>
      <w:r w:rsidRPr="00F43A73">
        <w:rPr>
          <w:sz w:val="24"/>
          <w:szCs w:val="24"/>
        </w:rPr>
        <w:t>lizada podría adquirir el estatus de educativa. Por este motivo, a continuación, se centrará la atención, desde una visión ético-práctica</w:t>
      </w:r>
      <w:r>
        <w:rPr>
          <w:sz w:val="24"/>
          <w:szCs w:val="24"/>
        </w:rPr>
        <w:t>, en las conexiones entre el ca</w:t>
      </w:r>
      <w:r w:rsidRPr="00F43A73">
        <w:rPr>
          <w:sz w:val="24"/>
          <w:szCs w:val="24"/>
        </w:rPr>
        <w:t>rácter y la práctica instrumental. Junto a este análisis, se presentará una reflexión sobre las condiciones de la música en tiempos aristo</w:t>
      </w:r>
      <w:r>
        <w:rPr>
          <w:sz w:val="24"/>
          <w:szCs w:val="24"/>
        </w:rPr>
        <w:t>télicos y la actualidad. Se con</w:t>
      </w:r>
      <w:r w:rsidRPr="00F43A73">
        <w:rPr>
          <w:sz w:val="24"/>
          <w:szCs w:val="24"/>
        </w:rPr>
        <w:t xml:space="preserve">cluye el apartado con la propuesta de una ética-práctica centrada en la idea de artesanía de Richard </w:t>
      </w:r>
      <w:proofErr w:type="spellStart"/>
      <w:r w:rsidRPr="00F43A73">
        <w:rPr>
          <w:sz w:val="24"/>
          <w:szCs w:val="24"/>
        </w:rPr>
        <w:t>Sennett</w:t>
      </w:r>
      <w:proofErr w:type="spellEnd"/>
      <w:r w:rsidRPr="00F43A73">
        <w:rPr>
          <w:sz w:val="24"/>
          <w:szCs w:val="24"/>
        </w:rPr>
        <w:t>, aplicable a la práctica instrumental y que puede servir de guía en el proceso de enseñanza-aprendizaje musical.</w:t>
      </w:r>
    </w:p>
    <w:p w14:paraId="62284584" w14:textId="0E562671" w:rsidR="00C72FB4" w:rsidRDefault="00C72FB4" w:rsidP="00BA4686">
      <w:pPr>
        <w:spacing w:line="276" w:lineRule="auto"/>
        <w:jc w:val="both"/>
        <w:rPr>
          <w:b/>
          <w:color w:val="000000" w:themeColor="text1"/>
          <w:sz w:val="24"/>
          <w:szCs w:val="24"/>
        </w:rPr>
      </w:pPr>
    </w:p>
    <w:p w14:paraId="1094B43C" w14:textId="77777777" w:rsidR="00F43A73" w:rsidRPr="00F43A73" w:rsidRDefault="00F43A73" w:rsidP="00F43A73">
      <w:pPr>
        <w:spacing w:line="276" w:lineRule="auto"/>
        <w:ind w:firstLine="708"/>
        <w:jc w:val="both"/>
        <w:rPr>
          <w:b/>
          <w:sz w:val="24"/>
          <w:szCs w:val="24"/>
        </w:rPr>
      </w:pPr>
      <w:r w:rsidRPr="00F43A73">
        <w:rPr>
          <w:b/>
          <w:sz w:val="24"/>
          <w:szCs w:val="24"/>
        </w:rPr>
        <w:t>3.Cómo la música afecta al carácter: discusión entre la visión aristotélica y la actualidad musical</w:t>
      </w:r>
    </w:p>
    <w:p w14:paraId="1A0D7579" w14:textId="74EF405B" w:rsidR="00F43A73" w:rsidRDefault="00F43A73" w:rsidP="00BA4686">
      <w:pPr>
        <w:spacing w:line="276" w:lineRule="auto"/>
        <w:jc w:val="both"/>
        <w:rPr>
          <w:sz w:val="24"/>
          <w:szCs w:val="24"/>
        </w:rPr>
      </w:pPr>
      <w:r w:rsidRPr="00F43A73">
        <w:rPr>
          <w:sz w:val="24"/>
          <w:szCs w:val="24"/>
        </w:rPr>
        <w:t>Aristóteles, en el libro VIII de Política, analiza la música desde tres dimensiones: como juego o descanso, como ocio o como medio para la virtud (en cuanto que sirve a la educación para formar el car</w:t>
      </w:r>
      <w:r>
        <w:rPr>
          <w:sz w:val="24"/>
          <w:szCs w:val="24"/>
        </w:rPr>
        <w:t>ácter). El filóso</w:t>
      </w:r>
      <w:r w:rsidRPr="00F43A73">
        <w:rPr>
          <w:sz w:val="24"/>
          <w:szCs w:val="24"/>
        </w:rPr>
        <w:t>fo afirma que «la música infunde ciertas cualidades al carácter, acostumbrán</w:t>
      </w:r>
      <w:r>
        <w:rPr>
          <w:sz w:val="24"/>
          <w:szCs w:val="24"/>
        </w:rPr>
        <w:t>dolo a poder recrearse rectamen</w:t>
      </w:r>
      <w:r w:rsidRPr="00F43A73">
        <w:rPr>
          <w:sz w:val="24"/>
          <w:szCs w:val="24"/>
        </w:rPr>
        <w:t>te» (Aristóteles, 2015, p. 464). Esta costumbre o hábito pone la mirada en el futuro y la adultez, en tanto que la música como ocio se encuentra entre las actividades más elevadas. Es decir, acerca más a las personas libres (</w:t>
      </w:r>
      <w:proofErr w:type="spellStart"/>
      <w:r w:rsidRPr="00F43A73">
        <w:rPr>
          <w:sz w:val="24"/>
          <w:szCs w:val="24"/>
        </w:rPr>
        <w:t>ciu</w:t>
      </w:r>
      <w:proofErr w:type="spellEnd"/>
      <w:r w:rsidRPr="00F43A73">
        <w:rPr>
          <w:sz w:val="24"/>
          <w:szCs w:val="24"/>
        </w:rPr>
        <w:t xml:space="preserve"> </w:t>
      </w:r>
      <w:proofErr w:type="spellStart"/>
      <w:r w:rsidRPr="00F43A73">
        <w:rPr>
          <w:sz w:val="24"/>
          <w:szCs w:val="24"/>
        </w:rPr>
        <w:t>dadanía</w:t>
      </w:r>
      <w:proofErr w:type="spellEnd"/>
      <w:r w:rsidRPr="00F43A73">
        <w:rPr>
          <w:sz w:val="24"/>
          <w:szCs w:val="24"/>
        </w:rPr>
        <w:t xml:space="preserve">) al fin último del ser humano: la </w:t>
      </w:r>
      <w:proofErr w:type="spellStart"/>
      <w:r w:rsidRPr="00F43A73">
        <w:rPr>
          <w:sz w:val="24"/>
          <w:szCs w:val="24"/>
        </w:rPr>
        <w:t>eudaimonia</w:t>
      </w:r>
      <w:proofErr w:type="spellEnd"/>
      <w:r w:rsidRPr="00F43A73">
        <w:rPr>
          <w:sz w:val="24"/>
          <w:szCs w:val="24"/>
        </w:rPr>
        <w:t>. También apunta diferentes tipos de melodías, ritmos e instrumentos que serán los adecuados para incidir en el buen carácter. Sin embargo, lo más importante para esta investigación es que, según el griego, los educandos deben aprender la música tocando. Aristóteles (2015) afirmaba que «no es indigno del hombre libre hacer las cosas por sí mismo o por los ami</w:t>
      </w:r>
      <w:r>
        <w:rPr>
          <w:sz w:val="24"/>
          <w:szCs w:val="24"/>
        </w:rPr>
        <w:t>gos o por una excelen</w:t>
      </w:r>
      <w:r w:rsidRPr="00F43A73">
        <w:rPr>
          <w:sz w:val="24"/>
          <w:szCs w:val="24"/>
        </w:rPr>
        <w:t>cia» (p. 458). La actividad manual está aceptada si es con vistas al ocio y la virtud, «pues es cosa muy difícil o imposible llegar a ser buenos jueces sin participar en estas acciones» (p. 470)</w:t>
      </w:r>
    </w:p>
    <w:p w14:paraId="1984E1B1" w14:textId="19D2F5E1" w:rsidR="00F43A73" w:rsidRDefault="00F43A73" w:rsidP="00BA4686">
      <w:pPr>
        <w:spacing w:line="276" w:lineRule="auto"/>
        <w:jc w:val="both"/>
        <w:rPr>
          <w:sz w:val="24"/>
          <w:szCs w:val="24"/>
        </w:rPr>
      </w:pPr>
    </w:p>
    <w:p w14:paraId="4D2F8384" w14:textId="084F9C1C" w:rsidR="00F43A73" w:rsidRPr="00F43A73" w:rsidRDefault="00F43A73" w:rsidP="00BA4686">
      <w:pPr>
        <w:spacing w:line="276" w:lineRule="auto"/>
        <w:jc w:val="both"/>
        <w:rPr>
          <w:b/>
          <w:color w:val="000000" w:themeColor="text1"/>
          <w:sz w:val="24"/>
          <w:szCs w:val="24"/>
        </w:rPr>
      </w:pPr>
      <w:r w:rsidRPr="00F43A73">
        <w:rPr>
          <w:sz w:val="24"/>
          <w:szCs w:val="24"/>
        </w:rPr>
        <w:t xml:space="preserve">Al respecto, Dewey (2014) pone de relieve que los hábitos no son exclusivamente mecánicos ni están </w:t>
      </w:r>
      <w:proofErr w:type="spellStart"/>
      <w:r w:rsidRPr="00F43A73">
        <w:rPr>
          <w:sz w:val="24"/>
          <w:szCs w:val="24"/>
        </w:rPr>
        <w:t>ais</w:t>
      </w:r>
      <w:proofErr w:type="spellEnd"/>
      <w:r w:rsidRPr="00F43A73">
        <w:rPr>
          <w:sz w:val="24"/>
          <w:szCs w:val="24"/>
        </w:rPr>
        <w:t xml:space="preserve"> lados de la persona, sino que son la voluntad misma, están sujetos al deseo y al gusto del individuo. Según este autor, la voluntad tiene que ver con la acción, el movimiento y el cambio, es el motor que lleva a actuar: «la correcta disposición producirá la obra debida» (p. 59). Siguiendo con las ideas de Dewey, las costumbres son hábitos de condición social, hábitos que perduran en el tiempo y trascienden al individuo. En este sentido, para hacer frente a cierto sedentarismo social producido por las costumbres, son </w:t>
      </w:r>
      <w:r>
        <w:rPr>
          <w:sz w:val="24"/>
          <w:szCs w:val="24"/>
        </w:rPr>
        <w:t>efectivos los hábitos inteligen</w:t>
      </w:r>
      <w:r w:rsidRPr="00F43A73">
        <w:rPr>
          <w:sz w:val="24"/>
          <w:szCs w:val="24"/>
        </w:rPr>
        <w:t xml:space="preserve">tes. La articulación de la razón, la reflexión, la crítica o la </w:t>
      </w:r>
      <w:proofErr w:type="spellStart"/>
      <w:r w:rsidRPr="00F43A73">
        <w:rPr>
          <w:sz w:val="24"/>
          <w:szCs w:val="24"/>
        </w:rPr>
        <w:t>phronesis</w:t>
      </w:r>
      <w:proofErr w:type="spellEnd"/>
      <w:r w:rsidRPr="00F43A73">
        <w:rPr>
          <w:sz w:val="24"/>
          <w:szCs w:val="24"/>
        </w:rPr>
        <w:t xml:space="preserve"> permiten hacer frente a las costumbres paralizantes de una manera abierta y flexible al cambio, algo que logra proyectar un futuro mejor Este podría ser u</w:t>
      </w:r>
      <w:r>
        <w:rPr>
          <w:sz w:val="24"/>
          <w:szCs w:val="24"/>
        </w:rPr>
        <w:t>no de los caminos para la trans</w:t>
      </w:r>
      <w:r w:rsidRPr="00F43A73">
        <w:rPr>
          <w:sz w:val="24"/>
          <w:szCs w:val="24"/>
        </w:rPr>
        <w:t>formación social que,</w:t>
      </w:r>
      <w:r>
        <w:rPr>
          <w:sz w:val="24"/>
          <w:szCs w:val="24"/>
        </w:rPr>
        <w:t xml:space="preserve"> por ejemplo, la educación musi</w:t>
      </w:r>
      <w:r w:rsidRPr="00F43A73">
        <w:rPr>
          <w:sz w:val="24"/>
          <w:szCs w:val="24"/>
        </w:rPr>
        <w:t>cal crítica persigue de forma decidida (Marín-Liébana et al., 2021) y en el cual puede participar también la práctica instrumental especializada. En resumen, con el aprendizaje instrumental, se podría lograr el desarrollo del buen carácter, con una repercusión tanto individual como social, a través de la participación activa, reflexiva y crítica en los procesos de creación.</w:t>
      </w:r>
    </w:p>
    <w:p w14:paraId="18F03F97" w14:textId="77777777" w:rsidR="00C72FB4" w:rsidRPr="00BA4686" w:rsidRDefault="00C72FB4" w:rsidP="00BA4686">
      <w:pPr>
        <w:spacing w:line="276" w:lineRule="auto"/>
        <w:jc w:val="both"/>
        <w:rPr>
          <w:b/>
          <w:color w:val="000000" w:themeColor="text1"/>
          <w:sz w:val="24"/>
          <w:szCs w:val="24"/>
        </w:rPr>
      </w:pPr>
    </w:p>
    <w:p w14:paraId="7402F030" w14:textId="77777777" w:rsidR="00EA5F9B" w:rsidRPr="00BA4686" w:rsidRDefault="00EA5F9B" w:rsidP="00BA4686">
      <w:pPr>
        <w:shd w:val="clear" w:color="auto" w:fill="BDD6EE" w:themeFill="accent5" w:themeFillTint="66"/>
        <w:spacing w:line="276" w:lineRule="auto"/>
        <w:jc w:val="both"/>
        <w:rPr>
          <w:b/>
          <w:color w:val="000000" w:themeColor="text1"/>
          <w:sz w:val="24"/>
          <w:szCs w:val="24"/>
        </w:rPr>
      </w:pPr>
      <w:r w:rsidRPr="00BA4686">
        <w:rPr>
          <w:b/>
          <w:color w:val="000000" w:themeColor="text1"/>
          <w:sz w:val="24"/>
          <w:szCs w:val="24"/>
        </w:rPr>
        <w:t>Actividades:</w:t>
      </w:r>
    </w:p>
    <w:p w14:paraId="14DFE9E7" w14:textId="10824DB4" w:rsidR="00EA5F9B" w:rsidRDefault="00EA5F9B" w:rsidP="00BA4686">
      <w:pPr>
        <w:jc w:val="both"/>
        <w:rPr>
          <w:b/>
          <w:color w:val="000000" w:themeColor="text1"/>
          <w:sz w:val="24"/>
          <w:szCs w:val="24"/>
          <w:lang w:val="es-PY"/>
        </w:rPr>
      </w:pPr>
    </w:p>
    <w:p w14:paraId="71EBABA3" w14:textId="77C86FD8" w:rsidR="00F0617C" w:rsidRDefault="00F0617C" w:rsidP="00BA4686">
      <w:pPr>
        <w:jc w:val="both"/>
        <w:rPr>
          <w:b/>
          <w:i/>
          <w:sz w:val="24"/>
          <w:szCs w:val="24"/>
        </w:rPr>
      </w:pPr>
      <w:r w:rsidRPr="0000286C">
        <w:rPr>
          <w:color w:val="000000" w:themeColor="text1"/>
          <w:sz w:val="24"/>
          <w:szCs w:val="24"/>
          <w:lang w:val="es-PY"/>
        </w:rPr>
        <w:t>Luego de leer este articulo</w:t>
      </w:r>
      <w:r>
        <w:rPr>
          <w:b/>
          <w:color w:val="000000" w:themeColor="text1"/>
          <w:sz w:val="24"/>
          <w:szCs w:val="24"/>
          <w:lang w:val="es-PY"/>
        </w:rPr>
        <w:t xml:space="preserve"> </w:t>
      </w:r>
      <w:proofErr w:type="spellStart"/>
      <w:r w:rsidR="0000286C" w:rsidRPr="0000286C">
        <w:rPr>
          <w:color w:val="000000" w:themeColor="text1"/>
          <w:sz w:val="24"/>
          <w:szCs w:val="24"/>
          <w:lang w:val="es-PY"/>
        </w:rPr>
        <w:t>extraido</w:t>
      </w:r>
      <w:proofErr w:type="spellEnd"/>
      <w:r w:rsidR="0000286C" w:rsidRPr="0000286C">
        <w:rPr>
          <w:color w:val="000000" w:themeColor="text1"/>
          <w:sz w:val="24"/>
          <w:szCs w:val="24"/>
          <w:lang w:val="es-PY"/>
        </w:rPr>
        <w:t xml:space="preserve"> de la</w:t>
      </w:r>
      <w:r w:rsidR="0000286C">
        <w:rPr>
          <w:b/>
          <w:color w:val="000000" w:themeColor="text1"/>
          <w:sz w:val="24"/>
          <w:szCs w:val="24"/>
          <w:lang w:val="es-PY"/>
        </w:rPr>
        <w:t>“</w:t>
      </w:r>
      <w:r w:rsidR="0000286C" w:rsidRPr="0000286C">
        <w:rPr>
          <w:b/>
          <w:i/>
          <w:sz w:val="24"/>
          <w:szCs w:val="24"/>
        </w:rPr>
        <w:t>Revista Española de Pedagogía año 82, n.º 287, enero-abril 2024</w:t>
      </w:r>
      <w:r w:rsidR="0000286C">
        <w:rPr>
          <w:b/>
          <w:i/>
          <w:sz w:val="24"/>
          <w:szCs w:val="24"/>
        </w:rPr>
        <w:t>”</w:t>
      </w:r>
    </w:p>
    <w:p w14:paraId="5F77BAA9" w14:textId="0F40D5B7" w:rsidR="0000286C" w:rsidRDefault="0000286C" w:rsidP="00BA4686">
      <w:pPr>
        <w:jc w:val="both"/>
        <w:rPr>
          <w:b/>
          <w:i/>
          <w:sz w:val="24"/>
          <w:szCs w:val="24"/>
        </w:rPr>
      </w:pPr>
    </w:p>
    <w:p w14:paraId="45538BAC" w14:textId="1F8CC00C" w:rsidR="0000286C" w:rsidRPr="0000286C" w:rsidRDefault="0000286C" w:rsidP="00BA4686">
      <w:pPr>
        <w:jc w:val="both"/>
        <w:rPr>
          <w:b/>
          <w:i/>
          <w:sz w:val="28"/>
          <w:szCs w:val="28"/>
        </w:rPr>
      </w:pPr>
      <w:r w:rsidRPr="0000286C">
        <w:rPr>
          <w:b/>
          <w:i/>
          <w:sz w:val="28"/>
          <w:szCs w:val="28"/>
        </w:rPr>
        <w:t>Responde a este cuestionamiento y fundamenta tu respuesta</w:t>
      </w:r>
    </w:p>
    <w:p w14:paraId="73F40FB4" w14:textId="77777777" w:rsidR="0000286C" w:rsidRDefault="0000286C" w:rsidP="00BA4686">
      <w:pPr>
        <w:jc w:val="both"/>
      </w:pPr>
    </w:p>
    <w:p w14:paraId="75B0400F" w14:textId="7514357F" w:rsidR="0000286C" w:rsidRDefault="0000286C" w:rsidP="00BA4686">
      <w:pPr>
        <w:jc w:val="both"/>
        <w:rPr>
          <w:i/>
          <w:sz w:val="28"/>
          <w:szCs w:val="28"/>
        </w:rPr>
      </w:pPr>
      <w:r w:rsidRPr="0000286C">
        <w:rPr>
          <w:i/>
          <w:sz w:val="28"/>
          <w:szCs w:val="28"/>
        </w:rPr>
        <w:t>La práctica instrumental, ¿es o no una condición necesaria de la música?</w:t>
      </w:r>
    </w:p>
    <w:p w14:paraId="374DD0A4" w14:textId="5DCA9A29" w:rsidR="003C745B" w:rsidRDefault="003C745B" w:rsidP="008746C6">
      <w:pPr>
        <w:pStyle w:val="NormalWeb"/>
      </w:pPr>
      <w:r>
        <w:t xml:space="preserve">La práctica instrumental </w:t>
      </w:r>
      <w:r>
        <w:rPr>
          <w:b/>
          <w:bCs/>
        </w:rPr>
        <w:t>sí es una condición necesaria</w:t>
      </w:r>
      <w:r>
        <w:t xml:space="preserve"> de la música, según la visión aristotélica y se presenta como un medio fundamental para la formación del carácter, lo cual es un objetivo esencial de la educación musi</w:t>
      </w:r>
      <w:r w:rsidR="008746C6">
        <w:t>cal</w:t>
      </w:r>
      <w:r>
        <w:t xml:space="preserve"> otorga</w:t>
      </w:r>
      <w:r w:rsidR="00641B75">
        <w:t>ndo</w:t>
      </w:r>
      <w:r>
        <w:t xml:space="preserve"> la </w:t>
      </w:r>
      <w:r>
        <w:rPr>
          <w:b/>
          <w:bCs/>
        </w:rPr>
        <w:t>participación activa</w:t>
      </w:r>
      <w:r>
        <w:t xml:space="preserve"> en el desarrollo del carácter virtuoso:</w:t>
      </w:r>
    </w:p>
    <w:p w14:paraId="41B1FACD" w14:textId="77777777" w:rsidR="00BA73E8" w:rsidRDefault="00084A50" w:rsidP="00BA73E8">
      <w:pPr>
        <w:pStyle w:val="NormalWeb"/>
      </w:pPr>
      <w:r>
        <w:t>La música como medio para la virtud (Aristóteles)</w:t>
      </w:r>
    </w:p>
    <w:p w14:paraId="0D7A574B" w14:textId="77777777" w:rsidR="00BA73E8" w:rsidRDefault="003C745B" w:rsidP="00BA73E8">
      <w:pPr>
        <w:pStyle w:val="NormalWeb"/>
        <w:rPr>
          <w:b/>
          <w:bCs/>
        </w:rPr>
      </w:pPr>
      <w:r>
        <w:rPr>
          <w:b/>
          <w:bCs/>
        </w:rPr>
        <w:t>Necesidad de Tocar:</w:t>
      </w:r>
      <w:r>
        <w:t xml:space="preserve"> Aristóteles, al analizar la música en el Libro VIII de </w:t>
      </w:r>
      <w:r>
        <w:rPr>
          <w:i/>
          <w:iCs/>
        </w:rPr>
        <w:t>Política</w:t>
      </w:r>
      <w:r>
        <w:t xml:space="preserve">, establece claramente que los educandos </w:t>
      </w:r>
      <w:r>
        <w:rPr>
          <w:b/>
          <w:bCs/>
        </w:rPr>
        <w:t>deben aprender la música tocando</w:t>
      </w:r>
    </w:p>
    <w:p w14:paraId="23A5946D" w14:textId="77777777" w:rsidR="0086135C" w:rsidRDefault="003C745B" w:rsidP="00016D61">
      <w:pPr>
        <w:pStyle w:val="NormalWeb"/>
      </w:pPr>
      <w:r>
        <w:rPr>
          <w:b/>
          <w:bCs/>
        </w:rPr>
        <w:t>Juicio y Participación:</w:t>
      </w:r>
      <w:r>
        <w:t xml:space="preserve"> El filósofo griego sostiene que es "muy difícil o imposible llegar a ser buenos jueces sin participar en estas acciones"</w:t>
      </w:r>
      <w:r w:rsidR="000B2EFA">
        <w:t>.</w:t>
      </w:r>
      <w:r>
        <w:t xml:space="preserve"> Esto implica que la </w:t>
      </w:r>
      <w:r>
        <w:rPr>
          <w:b/>
          <w:bCs/>
        </w:rPr>
        <w:t>experiencia práctica y activa</w:t>
      </w:r>
      <w:r>
        <w:t xml:space="preserve"> (tocar, hacer) es indispensable para desarrollar una comprensión y un juicio correctos sobre la música. La práctica instrumental no es solo un acto técnico, sino una vía para la excelencia (</w:t>
      </w:r>
      <w:proofErr w:type="spellStart"/>
      <w:r>
        <w:rPr>
          <w:i/>
          <w:iCs/>
        </w:rPr>
        <w:t>areté</w:t>
      </w:r>
      <w:proofErr w:type="spellEnd"/>
      <w:r>
        <w:t xml:space="preserve">) y el desarrollo de la </w:t>
      </w:r>
      <w:r>
        <w:rPr>
          <w:b/>
          <w:bCs/>
        </w:rPr>
        <w:t>virtud</w:t>
      </w:r>
      <w:r>
        <w:t>.</w:t>
      </w:r>
    </w:p>
    <w:p w14:paraId="23C74DE6" w14:textId="78617E70" w:rsidR="003C745B" w:rsidRDefault="003C745B" w:rsidP="00016D61">
      <w:pPr>
        <w:pStyle w:val="NormalWeb"/>
      </w:pPr>
      <w:r>
        <w:rPr>
          <w:b/>
          <w:bCs/>
        </w:rPr>
        <w:t>Carácter y Hábito:</w:t>
      </w:r>
      <w:r>
        <w:t xml:space="preserve"> La música "infunde ciertas cualidades al carácter, acostumbrándolo a poder recrearse rectamente". Este proceso de "acostumbrarse" se logra a través del </w:t>
      </w:r>
      <w:r>
        <w:rPr>
          <w:b/>
          <w:bCs/>
        </w:rPr>
        <w:t>hábito</w:t>
      </w:r>
      <w:r>
        <w:t>, que en el contexto musical implica la práctica activa, es decir, la práctica instrumental.</w:t>
      </w:r>
    </w:p>
    <w:p w14:paraId="059456D0" w14:textId="77777777" w:rsidR="005A4132" w:rsidRDefault="005A4132" w:rsidP="005A4132">
      <w:pPr>
        <w:pStyle w:val="NormalWeb"/>
      </w:pPr>
      <w:r>
        <w:t>Conexión con la educación del carácter</w:t>
      </w:r>
    </w:p>
    <w:p w14:paraId="207784A8" w14:textId="77777777" w:rsidR="009F15D1" w:rsidRDefault="003C745B" w:rsidP="009F15D1">
      <w:pPr>
        <w:pStyle w:val="NormalWeb"/>
      </w:pPr>
      <w:r>
        <w:t xml:space="preserve">El texto enlaza la </w:t>
      </w:r>
      <w:r>
        <w:rPr>
          <w:b/>
          <w:bCs/>
        </w:rPr>
        <w:t>educación musical</w:t>
      </w:r>
      <w:r>
        <w:t xml:space="preserve"> con la </w:t>
      </w:r>
      <w:r>
        <w:rPr>
          <w:b/>
          <w:bCs/>
        </w:rPr>
        <w:t>Educación del Carácter (EC)</w:t>
      </w:r>
      <w:r>
        <w:t xml:space="preserve"> de raíz aristotélica, cuyo fin último es la </w:t>
      </w:r>
      <w:proofErr w:type="spellStart"/>
      <w:r>
        <w:rPr>
          <w:i/>
          <w:iCs/>
        </w:rPr>
        <w:t>eudaimonia</w:t>
      </w:r>
      <w:proofErr w:type="spellEnd"/>
      <w:r>
        <w:t xml:space="preserve"> (felicidad o florecimiento) alcanzada mediante las virtudes y el "hacer lo bueno"</w:t>
      </w:r>
      <w:r w:rsidR="009F15D1">
        <w:t>.</w:t>
      </w:r>
    </w:p>
    <w:p w14:paraId="073BCED5" w14:textId="77777777" w:rsidR="009F15D1" w:rsidRDefault="003C745B" w:rsidP="009F15D1">
      <w:pPr>
        <w:pStyle w:val="NormalWeb"/>
      </w:pPr>
      <w:r>
        <w:t xml:space="preserve">Se plantea que la formación de un buen carácter es un </w:t>
      </w:r>
      <w:r>
        <w:rPr>
          <w:b/>
          <w:bCs/>
        </w:rPr>
        <w:t>desarrollo integral</w:t>
      </w:r>
      <w:r>
        <w:t xml:space="preserve"> del ser humano, una condición que la práctica instrumental especializada puede compartir</w:t>
      </w:r>
      <w:r w:rsidR="009F15D1">
        <w:t>.</w:t>
      </w:r>
    </w:p>
    <w:p w14:paraId="16308207" w14:textId="77777777" w:rsidR="002039A6" w:rsidRDefault="003C745B">
      <w:pPr>
        <w:pStyle w:val="NormalWeb"/>
      </w:pPr>
      <w:r>
        <w:t xml:space="preserve">Para lograr el </w:t>
      </w:r>
      <w:r>
        <w:rPr>
          <w:b/>
          <w:bCs/>
        </w:rPr>
        <w:t>desarrollo del buen carácter</w:t>
      </w:r>
      <w:r>
        <w:t xml:space="preserve"> a través de la música, el texto concluye que se requiere de la </w:t>
      </w:r>
      <w:r>
        <w:rPr>
          <w:b/>
          <w:bCs/>
        </w:rPr>
        <w:t>"participación activa, reflexiva y crítica en los procesos de creación"</w:t>
      </w:r>
      <w:r>
        <w:t xml:space="preserve"> lo cual se concreta fundamentalmente en la práctica instrumental.</w:t>
      </w:r>
    </w:p>
    <w:p w14:paraId="0E522B4D" w14:textId="61DA1442" w:rsidR="003C745B" w:rsidRPr="002039A6" w:rsidRDefault="002039A6">
      <w:pPr>
        <w:pStyle w:val="NormalWeb"/>
      </w:pPr>
      <w:r>
        <w:t>La</w:t>
      </w:r>
      <w:r w:rsidR="003C745B">
        <w:t xml:space="preserve"> práctica instrumental es la </w:t>
      </w:r>
      <w:r w:rsidR="003C745B">
        <w:rPr>
          <w:b/>
          <w:bCs/>
        </w:rPr>
        <w:t>vía de acción fundamental</w:t>
      </w:r>
      <w:r w:rsidR="003C745B">
        <w:t xml:space="preserve"> por la cual la música logra su propósito más elevado: </w:t>
      </w:r>
      <w:r w:rsidR="003C745B">
        <w:rPr>
          <w:b/>
          <w:bCs/>
        </w:rPr>
        <w:t>educar el carácter</w:t>
      </w:r>
      <w:r w:rsidR="003C745B">
        <w:t xml:space="preserve"> y contribuir al florecimiento (</w:t>
      </w:r>
      <w:proofErr w:type="spellStart"/>
      <w:r w:rsidR="003C745B">
        <w:rPr>
          <w:i/>
          <w:iCs/>
        </w:rPr>
        <w:t>eudaimonia</w:t>
      </w:r>
      <w:proofErr w:type="spellEnd"/>
      <w:r w:rsidR="003C745B">
        <w:t xml:space="preserve">) individual y social, haciendo de ella una </w:t>
      </w:r>
      <w:r w:rsidR="003C745B">
        <w:rPr>
          <w:b/>
          <w:bCs/>
        </w:rPr>
        <w:t>condición necesaria</w:t>
      </w:r>
      <w:r w:rsidR="003C745B">
        <w:t xml:space="preserve"> para que la música cumpla su función educativa y moral.</w:t>
      </w:r>
    </w:p>
    <w:p w14:paraId="0204CA1A" w14:textId="77777777" w:rsidR="003C745B" w:rsidRPr="0000286C" w:rsidRDefault="003C745B" w:rsidP="00BA4686">
      <w:pPr>
        <w:jc w:val="both"/>
        <w:rPr>
          <w:b/>
          <w:i/>
          <w:color w:val="000000" w:themeColor="text1"/>
          <w:sz w:val="28"/>
          <w:szCs w:val="28"/>
          <w:lang w:val="es-PY"/>
        </w:rPr>
      </w:pPr>
    </w:p>
    <w:sectPr w:rsidR="003C745B" w:rsidRPr="0000286C" w:rsidSect="00BC00DF">
      <w:headerReference w:type="default" r:id="rId7"/>
      <w:pgSz w:w="12240" w:h="20160" w:code="5"/>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B0362" w14:textId="77777777" w:rsidR="003A23DB" w:rsidRDefault="003A23DB" w:rsidP="006B4D7E">
      <w:r>
        <w:separator/>
      </w:r>
    </w:p>
  </w:endnote>
  <w:endnote w:type="continuationSeparator" w:id="0">
    <w:p w14:paraId="10734E9F" w14:textId="77777777" w:rsidR="003A23DB" w:rsidRDefault="003A23DB" w:rsidP="006B4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ItalicMT">
    <w:altName w:val="Times New Roman"/>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48C37" w14:textId="77777777" w:rsidR="003A23DB" w:rsidRDefault="003A23DB" w:rsidP="006B4D7E">
      <w:r>
        <w:separator/>
      </w:r>
    </w:p>
  </w:footnote>
  <w:footnote w:type="continuationSeparator" w:id="0">
    <w:p w14:paraId="62B2C3C5" w14:textId="77777777" w:rsidR="003A23DB" w:rsidRDefault="003A23DB" w:rsidP="006B4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664B0" w14:textId="7DEF49FF" w:rsidR="006B4D7E" w:rsidRDefault="00697E3C">
    <w:pPr>
      <w:pStyle w:val="Encabezado"/>
    </w:pPr>
    <w:bookmarkStart w:id="1" w:name="_heading=h.gjdgxs" w:colFirst="0" w:colLast="0"/>
    <w:bookmarkEnd w:id="1"/>
    <w:r>
      <w:rPr>
        <w:noProof/>
        <w:lang w:val="es-MX" w:eastAsia="es-MX"/>
      </w:rPr>
      <w:drawing>
        <wp:anchor distT="0" distB="0" distL="114300" distR="114300" simplePos="0" relativeHeight="251659264" behindDoc="0" locked="0" layoutInCell="1" hidden="0" allowOverlap="1" wp14:anchorId="5FF6A715" wp14:editId="003F3070">
          <wp:simplePos x="0" y="0"/>
          <wp:positionH relativeFrom="margin">
            <wp:align>center</wp:align>
          </wp:positionH>
          <wp:positionV relativeFrom="paragraph">
            <wp:posOffset>-171450</wp:posOffset>
          </wp:positionV>
          <wp:extent cx="6488163" cy="614597"/>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488163" cy="61459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21F"/>
    <w:multiLevelType w:val="multilevel"/>
    <w:tmpl w:val="6F6CE394"/>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B9757C8"/>
    <w:multiLevelType w:val="hybridMultilevel"/>
    <w:tmpl w:val="B24CB25A"/>
    <w:lvl w:ilvl="0" w:tplc="5D7497A8">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939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458A2"/>
    <w:multiLevelType w:val="hybridMultilevel"/>
    <w:tmpl w:val="20C6C9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3350BB1"/>
    <w:multiLevelType w:val="multilevel"/>
    <w:tmpl w:val="6F6CE394"/>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439067D"/>
    <w:multiLevelType w:val="multilevel"/>
    <w:tmpl w:val="A3A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858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15DE7"/>
    <w:multiLevelType w:val="hybridMultilevel"/>
    <w:tmpl w:val="0A16683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9DE7085"/>
    <w:multiLevelType w:val="hybridMultilevel"/>
    <w:tmpl w:val="3230E66C"/>
    <w:lvl w:ilvl="0" w:tplc="647090A2">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1A33B4B"/>
    <w:multiLevelType w:val="multilevel"/>
    <w:tmpl w:val="71B82E70"/>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681CE1"/>
    <w:multiLevelType w:val="hybridMultilevel"/>
    <w:tmpl w:val="3C448B0C"/>
    <w:lvl w:ilvl="0" w:tplc="D60407D0">
      <w:start w:val="1"/>
      <w:numFmt w:val="decimal"/>
      <w:lvlText w:val="%1."/>
      <w:lvlJc w:val="left"/>
      <w:pPr>
        <w:ind w:left="1003" w:hanging="720"/>
      </w:pPr>
      <w:rPr>
        <w:rFonts w:ascii="Times New Roman" w:eastAsia="Times New Roman" w:hAnsi="Times New Roman" w:cs="Times New Roman" w:hint="default"/>
        <w:b/>
        <w:bCs/>
        <w:w w:val="100"/>
        <w:sz w:val="24"/>
        <w:szCs w:val="24"/>
        <w:lang w:val="es-ES" w:eastAsia="en-US" w:bidi="ar-SA"/>
      </w:rPr>
    </w:lvl>
    <w:lvl w:ilvl="1" w:tplc="EFC02A5E">
      <w:numFmt w:val="bullet"/>
      <w:lvlText w:val="•"/>
      <w:lvlJc w:val="left"/>
      <w:pPr>
        <w:ind w:left="1868" w:hanging="720"/>
      </w:pPr>
      <w:rPr>
        <w:rFonts w:hint="default"/>
        <w:lang w:val="es-ES" w:eastAsia="en-US" w:bidi="ar-SA"/>
      </w:rPr>
    </w:lvl>
    <w:lvl w:ilvl="2" w:tplc="DDB87CA6">
      <w:numFmt w:val="bullet"/>
      <w:lvlText w:val="•"/>
      <w:lvlJc w:val="left"/>
      <w:pPr>
        <w:ind w:left="2736" w:hanging="720"/>
      </w:pPr>
      <w:rPr>
        <w:rFonts w:hint="default"/>
        <w:lang w:val="es-ES" w:eastAsia="en-US" w:bidi="ar-SA"/>
      </w:rPr>
    </w:lvl>
    <w:lvl w:ilvl="3" w:tplc="8CE498E8">
      <w:numFmt w:val="bullet"/>
      <w:lvlText w:val="•"/>
      <w:lvlJc w:val="left"/>
      <w:pPr>
        <w:ind w:left="3604" w:hanging="720"/>
      </w:pPr>
      <w:rPr>
        <w:rFonts w:hint="default"/>
        <w:lang w:val="es-ES" w:eastAsia="en-US" w:bidi="ar-SA"/>
      </w:rPr>
    </w:lvl>
    <w:lvl w:ilvl="4" w:tplc="6A329D04">
      <w:numFmt w:val="bullet"/>
      <w:lvlText w:val="•"/>
      <w:lvlJc w:val="left"/>
      <w:pPr>
        <w:ind w:left="4472" w:hanging="720"/>
      </w:pPr>
      <w:rPr>
        <w:rFonts w:hint="default"/>
        <w:lang w:val="es-ES" w:eastAsia="en-US" w:bidi="ar-SA"/>
      </w:rPr>
    </w:lvl>
    <w:lvl w:ilvl="5" w:tplc="286872A8">
      <w:numFmt w:val="bullet"/>
      <w:lvlText w:val="•"/>
      <w:lvlJc w:val="left"/>
      <w:pPr>
        <w:ind w:left="5340" w:hanging="720"/>
      </w:pPr>
      <w:rPr>
        <w:rFonts w:hint="default"/>
        <w:lang w:val="es-ES" w:eastAsia="en-US" w:bidi="ar-SA"/>
      </w:rPr>
    </w:lvl>
    <w:lvl w:ilvl="6" w:tplc="F5347FDE">
      <w:numFmt w:val="bullet"/>
      <w:lvlText w:val="•"/>
      <w:lvlJc w:val="left"/>
      <w:pPr>
        <w:ind w:left="6208" w:hanging="720"/>
      </w:pPr>
      <w:rPr>
        <w:rFonts w:hint="default"/>
        <w:lang w:val="es-ES" w:eastAsia="en-US" w:bidi="ar-SA"/>
      </w:rPr>
    </w:lvl>
    <w:lvl w:ilvl="7" w:tplc="E2E289F6">
      <w:numFmt w:val="bullet"/>
      <w:lvlText w:val="•"/>
      <w:lvlJc w:val="left"/>
      <w:pPr>
        <w:ind w:left="7076" w:hanging="720"/>
      </w:pPr>
      <w:rPr>
        <w:rFonts w:hint="default"/>
        <w:lang w:val="es-ES" w:eastAsia="en-US" w:bidi="ar-SA"/>
      </w:rPr>
    </w:lvl>
    <w:lvl w:ilvl="8" w:tplc="0F6873A0">
      <w:numFmt w:val="bullet"/>
      <w:lvlText w:val="•"/>
      <w:lvlJc w:val="left"/>
      <w:pPr>
        <w:ind w:left="7944" w:hanging="720"/>
      </w:pPr>
      <w:rPr>
        <w:rFonts w:hint="default"/>
        <w:lang w:val="es-ES" w:eastAsia="en-US" w:bidi="ar-SA"/>
      </w:rPr>
    </w:lvl>
  </w:abstractNum>
  <w:abstractNum w:abstractNumId="11" w15:restartNumberingAfterBreak="0">
    <w:nsid w:val="49FA30CD"/>
    <w:multiLevelType w:val="hybridMultilevel"/>
    <w:tmpl w:val="20C6C9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C1F1682"/>
    <w:multiLevelType w:val="hybridMultilevel"/>
    <w:tmpl w:val="9A5683F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C6628BB"/>
    <w:multiLevelType w:val="hybridMultilevel"/>
    <w:tmpl w:val="20C6C9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99B62C6"/>
    <w:multiLevelType w:val="multilevel"/>
    <w:tmpl w:val="4550A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B1272F"/>
    <w:multiLevelType w:val="hybridMultilevel"/>
    <w:tmpl w:val="06703156"/>
    <w:lvl w:ilvl="0" w:tplc="3C0A0001">
      <w:start w:val="1"/>
      <w:numFmt w:val="bullet"/>
      <w:lvlText w:val=""/>
      <w:lvlJc w:val="left"/>
      <w:pPr>
        <w:ind w:left="1800" w:hanging="360"/>
      </w:pPr>
      <w:rPr>
        <w:rFonts w:ascii="Symbol" w:hAnsi="Symbol" w:hint="default"/>
      </w:rPr>
    </w:lvl>
    <w:lvl w:ilvl="1" w:tplc="3C0A0003" w:tentative="1">
      <w:start w:val="1"/>
      <w:numFmt w:val="bullet"/>
      <w:lvlText w:val="o"/>
      <w:lvlJc w:val="left"/>
      <w:pPr>
        <w:ind w:left="2520" w:hanging="360"/>
      </w:pPr>
      <w:rPr>
        <w:rFonts w:ascii="Courier New" w:hAnsi="Courier New" w:cs="Courier New" w:hint="default"/>
      </w:rPr>
    </w:lvl>
    <w:lvl w:ilvl="2" w:tplc="3C0A0005" w:tentative="1">
      <w:start w:val="1"/>
      <w:numFmt w:val="bullet"/>
      <w:lvlText w:val=""/>
      <w:lvlJc w:val="left"/>
      <w:pPr>
        <w:ind w:left="3240" w:hanging="360"/>
      </w:pPr>
      <w:rPr>
        <w:rFonts w:ascii="Wingdings" w:hAnsi="Wingdings" w:hint="default"/>
      </w:rPr>
    </w:lvl>
    <w:lvl w:ilvl="3" w:tplc="3C0A0001" w:tentative="1">
      <w:start w:val="1"/>
      <w:numFmt w:val="bullet"/>
      <w:lvlText w:val=""/>
      <w:lvlJc w:val="left"/>
      <w:pPr>
        <w:ind w:left="3960" w:hanging="360"/>
      </w:pPr>
      <w:rPr>
        <w:rFonts w:ascii="Symbol" w:hAnsi="Symbol" w:hint="default"/>
      </w:rPr>
    </w:lvl>
    <w:lvl w:ilvl="4" w:tplc="3C0A0003" w:tentative="1">
      <w:start w:val="1"/>
      <w:numFmt w:val="bullet"/>
      <w:lvlText w:val="o"/>
      <w:lvlJc w:val="left"/>
      <w:pPr>
        <w:ind w:left="4680" w:hanging="360"/>
      </w:pPr>
      <w:rPr>
        <w:rFonts w:ascii="Courier New" w:hAnsi="Courier New" w:cs="Courier New" w:hint="default"/>
      </w:rPr>
    </w:lvl>
    <w:lvl w:ilvl="5" w:tplc="3C0A0005" w:tentative="1">
      <w:start w:val="1"/>
      <w:numFmt w:val="bullet"/>
      <w:lvlText w:val=""/>
      <w:lvlJc w:val="left"/>
      <w:pPr>
        <w:ind w:left="5400" w:hanging="360"/>
      </w:pPr>
      <w:rPr>
        <w:rFonts w:ascii="Wingdings" w:hAnsi="Wingdings" w:hint="default"/>
      </w:rPr>
    </w:lvl>
    <w:lvl w:ilvl="6" w:tplc="3C0A0001" w:tentative="1">
      <w:start w:val="1"/>
      <w:numFmt w:val="bullet"/>
      <w:lvlText w:val=""/>
      <w:lvlJc w:val="left"/>
      <w:pPr>
        <w:ind w:left="6120" w:hanging="360"/>
      </w:pPr>
      <w:rPr>
        <w:rFonts w:ascii="Symbol" w:hAnsi="Symbol" w:hint="default"/>
      </w:rPr>
    </w:lvl>
    <w:lvl w:ilvl="7" w:tplc="3C0A0003" w:tentative="1">
      <w:start w:val="1"/>
      <w:numFmt w:val="bullet"/>
      <w:lvlText w:val="o"/>
      <w:lvlJc w:val="left"/>
      <w:pPr>
        <w:ind w:left="6840" w:hanging="360"/>
      </w:pPr>
      <w:rPr>
        <w:rFonts w:ascii="Courier New" w:hAnsi="Courier New" w:cs="Courier New" w:hint="default"/>
      </w:rPr>
    </w:lvl>
    <w:lvl w:ilvl="8" w:tplc="3C0A0005" w:tentative="1">
      <w:start w:val="1"/>
      <w:numFmt w:val="bullet"/>
      <w:lvlText w:val=""/>
      <w:lvlJc w:val="left"/>
      <w:pPr>
        <w:ind w:left="7560" w:hanging="360"/>
      </w:pPr>
      <w:rPr>
        <w:rFonts w:ascii="Wingdings" w:hAnsi="Wingdings" w:hint="default"/>
      </w:rPr>
    </w:lvl>
  </w:abstractNum>
  <w:abstractNum w:abstractNumId="16" w15:restartNumberingAfterBreak="0">
    <w:nsid w:val="61292C04"/>
    <w:multiLevelType w:val="hybridMultilevel"/>
    <w:tmpl w:val="18FA958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14F45C9"/>
    <w:multiLevelType w:val="hybridMultilevel"/>
    <w:tmpl w:val="D8024060"/>
    <w:lvl w:ilvl="0" w:tplc="3C0A0019">
      <w:start w:val="1"/>
      <w:numFmt w:val="lowerLetter"/>
      <w:lvlText w:val="%1."/>
      <w:lvlJc w:val="left"/>
      <w:pPr>
        <w:ind w:left="1080" w:hanging="360"/>
      </w:pPr>
    </w:lvl>
    <w:lvl w:ilvl="1" w:tplc="3C0A0019" w:tentative="1">
      <w:start w:val="1"/>
      <w:numFmt w:val="lowerLetter"/>
      <w:lvlText w:val="%2."/>
      <w:lvlJc w:val="left"/>
      <w:pPr>
        <w:ind w:left="1800" w:hanging="360"/>
      </w:pPr>
    </w:lvl>
    <w:lvl w:ilvl="2" w:tplc="3C0A001B" w:tentative="1">
      <w:start w:val="1"/>
      <w:numFmt w:val="lowerRoman"/>
      <w:lvlText w:val="%3."/>
      <w:lvlJc w:val="right"/>
      <w:pPr>
        <w:ind w:left="2520" w:hanging="180"/>
      </w:pPr>
    </w:lvl>
    <w:lvl w:ilvl="3" w:tplc="3C0A000F" w:tentative="1">
      <w:start w:val="1"/>
      <w:numFmt w:val="decimal"/>
      <w:lvlText w:val="%4."/>
      <w:lvlJc w:val="left"/>
      <w:pPr>
        <w:ind w:left="3240" w:hanging="360"/>
      </w:pPr>
    </w:lvl>
    <w:lvl w:ilvl="4" w:tplc="3C0A0019" w:tentative="1">
      <w:start w:val="1"/>
      <w:numFmt w:val="lowerLetter"/>
      <w:lvlText w:val="%5."/>
      <w:lvlJc w:val="left"/>
      <w:pPr>
        <w:ind w:left="3960" w:hanging="360"/>
      </w:pPr>
    </w:lvl>
    <w:lvl w:ilvl="5" w:tplc="3C0A001B" w:tentative="1">
      <w:start w:val="1"/>
      <w:numFmt w:val="lowerRoman"/>
      <w:lvlText w:val="%6."/>
      <w:lvlJc w:val="right"/>
      <w:pPr>
        <w:ind w:left="4680" w:hanging="180"/>
      </w:pPr>
    </w:lvl>
    <w:lvl w:ilvl="6" w:tplc="3C0A000F" w:tentative="1">
      <w:start w:val="1"/>
      <w:numFmt w:val="decimal"/>
      <w:lvlText w:val="%7."/>
      <w:lvlJc w:val="left"/>
      <w:pPr>
        <w:ind w:left="5400" w:hanging="360"/>
      </w:pPr>
    </w:lvl>
    <w:lvl w:ilvl="7" w:tplc="3C0A0019" w:tentative="1">
      <w:start w:val="1"/>
      <w:numFmt w:val="lowerLetter"/>
      <w:lvlText w:val="%8."/>
      <w:lvlJc w:val="left"/>
      <w:pPr>
        <w:ind w:left="6120" w:hanging="360"/>
      </w:pPr>
    </w:lvl>
    <w:lvl w:ilvl="8" w:tplc="3C0A001B" w:tentative="1">
      <w:start w:val="1"/>
      <w:numFmt w:val="lowerRoman"/>
      <w:lvlText w:val="%9."/>
      <w:lvlJc w:val="right"/>
      <w:pPr>
        <w:ind w:left="6840" w:hanging="180"/>
      </w:pPr>
    </w:lvl>
  </w:abstractNum>
  <w:abstractNum w:abstractNumId="18" w15:restartNumberingAfterBreak="0">
    <w:nsid w:val="7D7C5D2A"/>
    <w:multiLevelType w:val="multilevel"/>
    <w:tmpl w:val="A84E48A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414485">
    <w:abstractNumId w:val="16"/>
  </w:num>
  <w:num w:numId="2" w16cid:durableId="37973810">
    <w:abstractNumId w:val="1"/>
  </w:num>
  <w:num w:numId="3" w16cid:durableId="1428648122">
    <w:abstractNumId w:val="4"/>
  </w:num>
  <w:num w:numId="4" w16cid:durableId="1798061377">
    <w:abstractNumId w:val="8"/>
  </w:num>
  <w:num w:numId="5" w16cid:durableId="335576690">
    <w:abstractNumId w:val="0"/>
  </w:num>
  <w:num w:numId="6" w16cid:durableId="1166286240">
    <w:abstractNumId w:val="3"/>
  </w:num>
  <w:num w:numId="7" w16cid:durableId="1315447814">
    <w:abstractNumId w:val="13"/>
  </w:num>
  <w:num w:numId="8" w16cid:durableId="1228297624">
    <w:abstractNumId w:val="11"/>
  </w:num>
  <w:num w:numId="9" w16cid:durableId="1905288389">
    <w:abstractNumId w:val="10"/>
  </w:num>
  <w:num w:numId="10" w16cid:durableId="122965281">
    <w:abstractNumId w:val="5"/>
  </w:num>
  <w:num w:numId="11" w16cid:durableId="1465125326">
    <w:abstractNumId w:val="18"/>
  </w:num>
  <w:num w:numId="12" w16cid:durableId="1626504738">
    <w:abstractNumId w:val="9"/>
  </w:num>
  <w:num w:numId="13" w16cid:durableId="1302616152">
    <w:abstractNumId w:val="17"/>
  </w:num>
  <w:num w:numId="14" w16cid:durableId="1307197427">
    <w:abstractNumId w:val="15"/>
  </w:num>
  <w:num w:numId="15" w16cid:durableId="180121625">
    <w:abstractNumId w:val="14"/>
  </w:num>
  <w:num w:numId="16" w16cid:durableId="1921285358">
    <w:abstractNumId w:val="7"/>
  </w:num>
  <w:num w:numId="17" w16cid:durableId="1157571748">
    <w:abstractNumId w:val="12"/>
  </w:num>
  <w:num w:numId="18" w16cid:durableId="566385330">
    <w:abstractNumId w:val="2"/>
  </w:num>
  <w:num w:numId="19" w16cid:durableId="19087574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D7E"/>
    <w:rsid w:val="0000286C"/>
    <w:rsid w:val="00010992"/>
    <w:rsid w:val="00015891"/>
    <w:rsid w:val="00016D61"/>
    <w:rsid w:val="00017A1F"/>
    <w:rsid w:val="00026F67"/>
    <w:rsid w:val="0008158A"/>
    <w:rsid w:val="00081931"/>
    <w:rsid w:val="00084A50"/>
    <w:rsid w:val="00087BAC"/>
    <w:rsid w:val="000B2EFA"/>
    <w:rsid w:val="000C538F"/>
    <w:rsid w:val="000F5181"/>
    <w:rsid w:val="001122C7"/>
    <w:rsid w:val="00143345"/>
    <w:rsid w:val="001936F8"/>
    <w:rsid w:val="001F22FD"/>
    <w:rsid w:val="002039A6"/>
    <w:rsid w:val="00257305"/>
    <w:rsid w:val="00262CF8"/>
    <w:rsid w:val="00264C12"/>
    <w:rsid w:val="00297684"/>
    <w:rsid w:val="002E3F05"/>
    <w:rsid w:val="002E6CFB"/>
    <w:rsid w:val="003412C2"/>
    <w:rsid w:val="0035067C"/>
    <w:rsid w:val="00374EB1"/>
    <w:rsid w:val="003A23DB"/>
    <w:rsid w:val="003B1723"/>
    <w:rsid w:val="003C745B"/>
    <w:rsid w:val="003F74F9"/>
    <w:rsid w:val="00435C7A"/>
    <w:rsid w:val="00463A31"/>
    <w:rsid w:val="0047351A"/>
    <w:rsid w:val="005303D6"/>
    <w:rsid w:val="00571EE1"/>
    <w:rsid w:val="00572FCB"/>
    <w:rsid w:val="005A2C17"/>
    <w:rsid w:val="005A4132"/>
    <w:rsid w:val="005D3386"/>
    <w:rsid w:val="005F7C1B"/>
    <w:rsid w:val="00612033"/>
    <w:rsid w:val="00634183"/>
    <w:rsid w:val="00641B75"/>
    <w:rsid w:val="006478F3"/>
    <w:rsid w:val="00677CB3"/>
    <w:rsid w:val="00696D49"/>
    <w:rsid w:val="00697E3C"/>
    <w:rsid w:val="006B4D7E"/>
    <w:rsid w:val="006C092F"/>
    <w:rsid w:val="006D3791"/>
    <w:rsid w:val="006F38EF"/>
    <w:rsid w:val="007014D1"/>
    <w:rsid w:val="00711239"/>
    <w:rsid w:val="00741047"/>
    <w:rsid w:val="00754285"/>
    <w:rsid w:val="007560F1"/>
    <w:rsid w:val="007569B7"/>
    <w:rsid w:val="007746F9"/>
    <w:rsid w:val="007C1EDB"/>
    <w:rsid w:val="007D340B"/>
    <w:rsid w:val="007D41A2"/>
    <w:rsid w:val="0086135C"/>
    <w:rsid w:val="008670BE"/>
    <w:rsid w:val="008746C6"/>
    <w:rsid w:val="008753C1"/>
    <w:rsid w:val="00882B21"/>
    <w:rsid w:val="008936FF"/>
    <w:rsid w:val="008C1C50"/>
    <w:rsid w:val="008D5E2F"/>
    <w:rsid w:val="008F5E96"/>
    <w:rsid w:val="009576D6"/>
    <w:rsid w:val="009B22E1"/>
    <w:rsid w:val="009F15D1"/>
    <w:rsid w:val="00A33934"/>
    <w:rsid w:val="00A364D1"/>
    <w:rsid w:val="00A57E29"/>
    <w:rsid w:val="00A62910"/>
    <w:rsid w:val="00AF10BC"/>
    <w:rsid w:val="00B16C12"/>
    <w:rsid w:val="00B2395E"/>
    <w:rsid w:val="00B57276"/>
    <w:rsid w:val="00B82318"/>
    <w:rsid w:val="00BA4686"/>
    <w:rsid w:val="00BA73E8"/>
    <w:rsid w:val="00BC00DF"/>
    <w:rsid w:val="00C00636"/>
    <w:rsid w:val="00C10E3D"/>
    <w:rsid w:val="00C4288F"/>
    <w:rsid w:val="00C444F0"/>
    <w:rsid w:val="00C4574B"/>
    <w:rsid w:val="00C67E37"/>
    <w:rsid w:val="00C72FB4"/>
    <w:rsid w:val="00C75A19"/>
    <w:rsid w:val="00CA3BC3"/>
    <w:rsid w:val="00CD3618"/>
    <w:rsid w:val="00CF2F83"/>
    <w:rsid w:val="00CF6084"/>
    <w:rsid w:val="00D011E8"/>
    <w:rsid w:val="00D03EB8"/>
    <w:rsid w:val="00D130ED"/>
    <w:rsid w:val="00D26F7E"/>
    <w:rsid w:val="00D54F3D"/>
    <w:rsid w:val="00D867B2"/>
    <w:rsid w:val="00D9695F"/>
    <w:rsid w:val="00DE4090"/>
    <w:rsid w:val="00E07712"/>
    <w:rsid w:val="00E640DA"/>
    <w:rsid w:val="00E74059"/>
    <w:rsid w:val="00E827AE"/>
    <w:rsid w:val="00E8602F"/>
    <w:rsid w:val="00E90FC8"/>
    <w:rsid w:val="00EA5F9B"/>
    <w:rsid w:val="00EA6336"/>
    <w:rsid w:val="00EB403E"/>
    <w:rsid w:val="00EE3927"/>
    <w:rsid w:val="00F05258"/>
    <w:rsid w:val="00F0617C"/>
    <w:rsid w:val="00F43A73"/>
    <w:rsid w:val="00F8067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9FFDD"/>
  <w15:chartTrackingRefBased/>
  <w15:docId w15:val="{E06908AF-5B2D-4918-80AA-B124DEFB6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D7E"/>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link w:val="Ttulo1Car"/>
    <w:uiPriority w:val="9"/>
    <w:qFormat/>
    <w:rsid w:val="006D3791"/>
    <w:pPr>
      <w:spacing w:before="100" w:beforeAutospacing="1" w:after="100" w:afterAutospacing="1"/>
      <w:outlineLvl w:val="0"/>
    </w:pPr>
    <w:rPr>
      <w:b/>
      <w:bCs/>
      <w:kern w:val="36"/>
      <w:sz w:val="48"/>
      <w:szCs w:val="48"/>
      <w:lang w:val="es-MX" w:eastAsia="es-MX"/>
    </w:rPr>
  </w:style>
  <w:style w:type="paragraph" w:styleId="Ttulo2">
    <w:name w:val="heading 2"/>
    <w:basedOn w:val="Normal"/>
    <w:next w:val="Normal"/>
    <w:link w:val="Ttulo2Car"/>
    <w:uiPriority w:val="9"/>
    <w:unhideWhenUsed/>
    <w:qFormat/>
    <w:rsid w:val="003C7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3C745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B4D7E"/>
    <w:pPr>
      <w:ind w:left="720"/>
      <w:contextualSpacing/>
    </w:pPr>
  </w:style>
  <w:style w:type="paragraph" w:styleId="Encabezado">
    <w:name w:val="header"/>
    <w:basedOn w:val="Normal"/>
    <w:link w:val="EncabezadoCar"/>
    <w:uiPriority w:val="99"/>
    <w:unhideWhenUsed/>
    <w:rsid w:val="006B4D7E"/>
    <w:pPr>
      <w:tabs>
        <w:tab w:val="center" w:pos="4419"/>
        <w:tab w:val="right" w:pos="8838"/>
      </w:tabs>
    </w:pPr>
  </w:style>
  <w:style w:type="character" w:customStyle="1" w:styleId="EncabezadoCar">
    <w:name w:val="Encabezado Car"/>
    <w:basedOn w:val="Fuentedeprrafopredeter"/>
    <w:link w:val="Encabezado"/>
    <w:uiPriority w:val="99"/>
    <w:rsid w:val="006B4D7E"/>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unhideWhenUsed/>
    <w:rsid w:val="006B4D7E"/>
    <w:pPr>
      <w:tabs>
        <w:tab w:val="center" w:pos="4419"/>
        <w:tab w:val="right" w:pos="8838"/>
      </w:tabs>
    </w:pPr>
  </w:style>
  <w:style w:type="character" w:customStyle="1" w:styleId="PiedepginaCar">
    <w:name w:val="Pie de página Car"/>
    <w:basedOn w:val="Fuentedeprrafopredeter"/>
    <w:link w:val="Piedepgina"/>
    <w:uiPriority w:val="99"/>
    <w:rsid w:val="006B4D7E"/>
    <w:rPr>
      <w:rFonts w:ascii="Times New Roman" w:eastAsia="Times New Roman" w:hAnsi="Times New Roman" w:cs="Times New Roman"/>
      <w:sz w:val="20"/>
      <w:szCs w:val="20"/>
      <w:lang w:val="es-ES" w:eastAsia="es-ES"/>
    </w:rPr>
  </w:style>
  <w:style w:type="paragraph" w:styleId="NormalWeb">
    <w:name w:val="Normal (Web)"/>
    <w:basedOn w:val="Normal"/>
    <w:uiPriority w:val="99"/>
    <w:unhideWhenUsed/>
    <w:rsid w:val="00257305"/>
    <w:pPr>
      <w:spacing w:before="100" w:beforeAutospacing="1" w:after="100" w:afterAutospacing="1"/>
    </w:pPr>
    <w:rPr>
      <w:sz w:val="24"/>
      <w:szCs w:val="24"/>
      <w:lang w:val="es-MX" w:eastAsia="es-MX"/>
    </w:rPr>
  </w:style>
  <w:style w:type="character" w:customStyle="1" w:styleId="Ttulo1Car">
    <w:name w:val="Título 1 Car"/>
    <w:basedOn w:val="Fuentedeprrafopredeter"/>
    <w:link w:val="Ttulo1"/>
    <w:uiPriority w:val="9"/>
    <w:rsid w:val="006D3791"/>
    <w:rPr>
      <w:rFonts w:ascii="Times New Roman" w:eastAsia="Times New Roman" w:hAnsi="Times New Roman" w:cs="Times New Roman"/>
      <w:b/>
      <w:bCs/>
      <w:kern w:val="36"/>
      <w:sz w:val="48"/>
      <w:szCs w:val="48"/>
      <w:lang w:eastAsia="es-MX"/>
    </w:rPr>
  </w:style>
  <w:style w:type="character" w:customStyle="1" w:styleId="nje5zd">
    <w:name w:val="nje5zd"/>
    <w:basedOn w:val="Fuentedeprrafopredeter"/>
    <w:rsid w:val="006D3791"/>
  </w:style>
  <w:style w:type="character" w:customStyle="1" w:styleId="fontstyle01">
    <w:name w:val="fontstyle01"/>
    <w:basedOn w:val="Fuentedeprrafopredeter"/>
    <w:rsid w:val="006D3791"/>
    <w:rPr>
      <w:rFonts w:ascii="Calibri" w:hAnsi="Calibri" w:cs="Calibri" w:hint="default"/>
      <w:b w:val="0"/>
      <w:bCs w:val="0"/>
      <w:i w:val="0"/>
      <w:iCs w:val="0"/>
      <w:color w:val="000000"/>
      <w:sz w:val="24"/>
      <w:szCs w:val="24"/>
    </w:rPr>
  </w:style>
  <w:style w:type="paragraph" w:styleId="Textoindependiente">
    <w:name w:val="Body Text"/>
    <w:basedOn w:val="Normal"/>
    <w:link w:val="TextoindependienteCar"/>
    <w:uiPriority w:val="1"/>
    <w:qFormat/>
    <w:rsid w:val="00572FCB"/>
    <w:pPr>
      <w:widowControl w:val="0"/>
      <w:autoSpaceDE w:val="0"/>
      <w:autoSpaceDN w:val="0"/>
    </w:pPr>
    <w:rPr>
      <w:b/>
      <w:bCs/>
      <w:sz w:val="28"/>
      <w:szCs w:val="28"/>
      <w:lang w:eastAsia="en-US"/>
    </w:rPr>
  </w:style>
  <w:style w:type="character" w:customStyle="1" w:styleId="TextoindependienteCar">
    <w:name w:val="Texto independiente Car"/>
    <w:basedOn w:val="Fuentedeprrafopredeter"/>
    <w:link w:val="Textoindependiente"/>
    <w:uiPriority w:val="1"/>
    <w:rsid w:val="00572FCB"/>
    <w:rPr>
      <w:rFonts w:ascii="Times New Roman" w:eastAsia="Times New Roman" w:hAnsi="Times New Roman" w:cs="Times New Roman"/>
      <w:b/>
      <w:bCs/>
      <w:sz w:val="28"/>
      <w:szCs w:val="28"/>
      <w:lang w:val="es-ES"/>
    </w:rPr>
  </w:style>
  <w:style w:type="character" w:styleId="Hipervnculo">
    <w:name w:val="Hyperlink"/>
    <w:basedOn w:val="Fuentedeprrafopredeter"/>
    <w:uiPriority w:val="99"/>
    <w:unhideWhenUsed/>
    <w:rsid w:val="00696D49"/>
    <w:rPr>
      <w:color w:val="0563C1" w:themeColor="hyperlink"/>
      <w:u w:val="single"/>
    </w:rPr>
  </w:style>
  <w:style w:type="paragraph" w:styleId="Sinespaciado">
    <w:name w:val="No Spacing"/>
    <w:uiPriority w:val="1"/>
    <w:qFormat/>
    <w:rsid w:val="00EA5F9B"/>
    <w:pPr>
      <w:spacing w:after="0" w:line="240" w:lineRule="auto"/>
    </w:pPr>
    <w:rPr>
      <w:kern w:val="2"/>
      <w:sz w:val="24"/>
      <w:szCs w:val="24"/>
      <w:lang w:val="es-ES_tradnl"/>
      <w14:ligatures w14:val="standardContextual"/>
    </w:rPr>
  </w:style>
  <w:style w:type="character" w:customStyle="1" w:styleId="fontstyle21">
    <w:name w:val="fontstyle21"/>
    <w:basedOn w:val="Fuentedeprrafopredeter"/>
    <w:rsid w:val="00E90FC8"/>
    <w:rPr>
      <w:rFonts w:ascii="Times New Roman" w:hAnsi="Times New Roman" w:cs="Times New Roman" w:hint="default"/>
      <w:b w:val="0"/>
      <w:bCs w:val="0"/>
      <w:i w:val="0"/>
      <w:iCs w:val="0"/>
      <w:color w:val="000000"/>
      <w:sz w:val="24"/>
      <w:szCs w:val="24"/>
    </w:rPr>
  </w:style>
  <w:style w:type="character" w:customStyle="1" w:styleId="fontstyle11">
    <w:name w:val="fontstyle11"/>
    <w:basedOn w:val="Fuentedeprrafopredeter"/>
    <w:rsid w:val="0035067C"/>
    <w:rPr>
      <w:rFonts w:ascii="TimesNewRomanPS-ItalicMT" w:hAnsi="TimesNewRomanPS-ItalicMT" w:hint="default"/>
      <w:b w:val="0"/>
      <w:bCs w:val="0"/>
      <w:i/>
      <w:iCs/>
      <w:color w:val="000000"/>
      <w:sz w:val="16"/>
      <w:szCs w:val="16"/>
    </w:rPr>
  </w:style>
  <w:style w:type="character" w:customStyle="1" w:styleId="Ttulo2Car">
    <w:name w:val="Título 2 Car"/>
    <w:basedOn w:val="Fuentedeprrafopredeter"/>
    <w:link w:val="Ttulo2"/>
    <w:uiPriority w:val="9"/>
    <w:semiHidden/>
    <w:rsid w:val="003C745B"/>
    <w:rPr>
      <w:rFonts w:asciiTheme="majorHAnsi" w:eastAsiaTheme="majorEastAsia" w:hAnsiTheme="majorHAnsi" w:cstheme="majorBidi"/>
      <w:color w:val="2F5496" w:themeColor="accent1" w:themeShade="BF"/>
      <w:sz w:val="32"/>
      <w:szCs w:val="32"/>
      <w:lang w:val="es-ES" w:eastAsia="es-ES"/>
    </w:rPr>
  </w:style>
  <w:style w:type="character" w:customStyle="1" w:styleId="Ttulo3Car">
    <w:name w:val="Título 3 Car"/>
    <w:basedOn w:val="Fuentedeprrafopredeter"/>
    <w:link w:val="Ttulo3"/>
    <w:uiPriority w:val="9"/>
    <w:semiHidden/>
    <w:rsid w:val="003C745B"/>
    <w:rPr>
      <w:rFonts w:eastAsiaTheme="majorEastAsia" w:cstheme="majorBidi"/>
      <w:color w:val="2F5496" w:themeColor="accent1" w:themeShade="BF"/>
      <w:sz w:val="28"/>
      <w:szCs w:val="2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65119">
      <w:bodyDiv w:val="1"/>
      <w:marLeft w:val="0"/>
      <w:marRight w:val="0"/>
      <w:marTop w:val="0"/>
      <w:marBottom w:val="0"/>
      <w:divBdr>
        <w:top w:val="none" w:sz="0" w:space="0" w:color="auto"/>
        <w:left w:val="none" w:sz="0" w:space="0" w:color="auto"/>
        <w:bottom w:val="none" w:sz="0" w:space="0" w:color="auto"/>
        <w:right w:val="none" w:sz="0" w:space="0" w:color="auto"/>
      </w:divBdr>
    </w:div>
    <w:div w:id="506480948">
      <w:bodyDiv w:val="1"/>
      <w:marLeft w:val="0"/>
      <w:marRight w:val="0"/>
      <w:marTop w:val="0"/>
      <w:marBottom w:val="0"/>
      <w:divBdr>
        <w:top w:val="none" w:sz="0" w:space="0" w:color="auto"/>
        <w:left w:val="none" w:sz="0" w:space="0" w:color="auto"/>
        <w:bottom w:val="none" w:sz="0" w:space="0" w:color="auto"/>
        <w:right w:val="none" w:sz="0" w:space="0" w:color="auto"/>
      </w:divBdr>
    </w:div>
    <w:div w:id="689182221">
      <w:bodyDiv w:val="1"/>
      <w:marLeft w:val="0"/>
      <w:marRight w:val="0"/>
      <w:marTop w:val="0"/>
      <w:marBottom w:val="0"/>
      <w:divBdr>
        <w:top w:val="none" w:sz="0" w:space="0" w:color="auto"/>
        <w:left w:val="none" w:sz="0" w:space="0" w:color="auto"/>
        <w:bottom w:val="none" w:sz="0" w:space="0" w:color="auto"/>
        <w:right w:val="none" w:sz="0" w:space="0" w:color="auto"/>
      </w:divBdr>
    </w:div>
    <w:div w:id="734547212">
      <w:bodyDiv w:val="1"/>
      <w:marLeft w:val="0"/>
      <w:marRight w:val="0"/>
      <w:marTop w:val="0"/>
      <w:marBottom w:val="0"/>
      <w:divBdr>
        <w:top w:val="none" w:sz="0" w:space="0" w:color="auto"/>
        <w:left w:val="none" w:sz="0" w:space="0" w:color="auto"/>
        <w:bottom w:val="none" w:sz="0" w:space="0" w:color="auto"/>
        <w:right w:val="none" w:sz="0" w:space="0" w:color="auto"/>
      </w:divBdr>
    </w:div>
    <w:div w:id="1214535737">
      <w:bodyDiv w:val="1"/>
      <w:marLeft w:val="0"/>
      <w:marRight w:val="0"/>
      <w:marTop w:val="0"/>
      <w:marBottom w:val="0"/>
      <w:divBdr>
        <w:top w:val="none" w:sz="0" w:space="0" w:color="auto"/>
        <w:left w:val="none" w:sz="0" w:space="0" w:color="auto"/>
        <w:bottom w:val="none" w:sz="0" w:space="0" w:color="auto"/>
        <w:right w:val="none" w:sz="0" w:space="0" w:color="auto"/>
      </w:divBdr>
    </w:div>
    <w:div w:id="1329207401">
      <w:bodyDiv w:val="1"/>
      <w:marLeft w:val="0"/>
      <w:marRight w:val="0"/>
      <w:marTop w:val="0"/>
      <w:marBottom w:val="0"/>
      <w:divBdr>
        <w:top w:val="none" w:sz="0" w:space="0" w:color="auto"/>
        <w:left w:val="none" w:sz="0" w:space="0" w:color="auto"/>
        <w:bottom w:val="none" w:sz="0" w:space="0" w:color="auto"/>
        <w:right w:val="none" w:sz="0" w:space="0" w:color="auto"/>
      </w:divBdr>
    </w:div>
    <w:div w:id="1470973721">
      <w:bodyDiv w:val="1"/>
      <w:marLeft w:val="0"/>
      <w:marRight w:val="0"/>
      <w:marTop w:val="0"/>
      <w:marBottom w:val="0"/>
      <w:divBdr>
        <w:top w:val="none" w:sz="0" w:space="0" w:color="auto"/>
        <w:left w:val="none" w:sz="0" w:space="0" w:color="auto"/>
        <w:bottom w:val="none" w:sz="0" w:space="0" w:color="auto"/>
        <w:right w:val="none" w:sz="0" w:space="0" w:color="auto"/>
      </w:divBdr>
    </w:div>
    <w:div w:id="1494836533">
      <w:bodyDiv w:val="1"/>
      <w:marLeft w:val="0"/>
      <w:marRight w:val="0"/>
      <w:marTop w:val="0"/>
      <w:marBottom w:val="0"/>
      <w:divBdr>
        <w:top w:val="none" w:sz="0" w:space="0" w:color="auto"/>
        <w:left w:val="none" w:sz="0" w:space="0" w:color="auto"/>
        <w:bottom w:val="none" w:sz="0" w:space="0" w:color="auto"/>
        <w:right w:val="none" w:sz="0" w:space="0" w:color="auto"/>
      </w:divBdr>
    </w:div>
    <w:div w:id="1984650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2030</Words>
  <Characters>11169</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Luffi</dc:creator>
  <cp:keywords/>
  <dc:description/>
  <cp:lastModifiedBy>Minerva Dosantos</cp:lastModifiedBy>
  <cp:revision>2</cp:revision>
  <dcterms:created xsi:type="dcterms:W3CDTF">2025-10-09T17:44:00Z</dcterms:created>
  <dcterms:modified xsi:type="dcterms:W3CDTF">2025-10-09T17:44:00Z</dcterms:modified>
</cp:coreProperties>
</file>