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w:hAnsi="Aptos"/>
          <w:b/>
          <w:color w:val="C79538"/>
          <w:sz w:val="20"/>
        </w:rPr>
        <w:t>WEBSITE CONTENT DATA</w:t>
      </w:r>
    </w:p>
    <w:p>
      <w:pPr>
        <w:pStyle w:val="Title"/>
        <w:jc w:val="center"/>
      </w:pPr>
      <w:r>
        <w:t>Cambridge IGCSE™</w:t>
        <w:br/>
        <w:t>Islamiyat 0493</w:t>
      </w:r>
    </w:p>
    <w:p>
      <w:pPr>
        <w:pStyle w:val="Subtitle"/>
        <w:jc w:val="center"/>
      </w:pPr>
      <w:r>
        <w:t>Extracted and organised from the official syllabus for examinations in 2026 and 2027</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52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Field</w:t>
            </w:r>
          </w:p>
        </w:tc>
        <w:tc>
          <w:tcPr>
            <w:tcW w:type="dxa" w:w="684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Official value</w:t>
            </w:r>
          </w:p>
        </w:tc>
      </w:tr>
      <w:tr>
        <w:trPr>
          <w:cantSplit/>
        </w:trPr>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8"/>
              </w:rPr>
              <w:t>Qualification</w:t>
            </w:r>
          </w:p>
        </w:tc>
        <w:tc>
          <w:tcPr>
            <w:tcW w:type="dxa" w:w="6840"/>
            <w:vAlign w:val="center"/>
            <w:tcMar>
              <w:top w:w="90" w:type="dxa"/>
              <w:start w:w="110" w:type="dxa"/>
              <w:bottom w:w="90" w:type="dxa"/>
              <w:end w:w="110" w:type="dxa"/>
            </w:tcMar>
          </w:tcPr>
          <w:p>
            <w:pPr>
              <w:spacing w:after="0" w:line="240" w:lineRule="auto"/>
            </w:pPr>
            <w:r/>
            <w:r>
              <w:rPr>
                <w:rFonts w:ascii="Aptos" w:hAnsi="Aptos"/>
                <w:b w:val="0"/>
                <w:color w:val="263442"/>
                <w:sz w:val="18"/>
              </w:rPr>
              <w:t>Cambridge IGCSE Islamiyat</w:t>
            </w:r>
          </w:p>
        </w:tc>
      </w:tr>
      <w:tr>
        <w:trPr>
          <w:cantSplit/>
        </w:trPr>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Syllabus code</w:t>
            </w:r>
          </w:p>
        </w:tc>
        <w:tc>
          <w:tcPr>
            <w:tcW w:type="dxa" w:w="684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0493</w:t>
            </w:r>
          </w:p>
        </w:tc>
      </w:tr>
      <w:tr>
        <w:trPr>
          <w:cantSplit/>
        </w:trPr>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8"/>
              </w:rPr>
              <w:t>Exam years</w:t>
            </w:r>
          </w:p>
        </w:tc>
        <w:tc>
          <w:tcPr>
            <w:tcW w:type="dxa" w:w="6840"/>
            <w:vAlign w:val="center"/>
            <w:tcMar>
              <w:top w:w="90" w:type="dxa"/>
              <w:start w:w="110" w:type="dxa"/>
              <w:bottom w:w="90" w:type="dxa"/>
              <w:end w:w="110" w:type="dxa"/>
            </w:tcMar>
          </w:tcPr>
          <w:p>
            <w:pPr>
              <w:spacing w:after="0" w:line="240" w:lineRule="auto"/>
            </w:pPr>
            <w:r/>
            <w:r>
              <w:rPr>
                <w:rFonts w:ascii="Aptos" w:hAnsi="Aptos"/>
                <w:b w:val="0"/>
                <w:color w:val="263442"/>
                <w:sz w:val="18"/>
              </w:rPr>
              <w:t>2026 and 2027</w:t>
            </w:r>
          </w:p>
        </w:tc>
      </w:tr>
      <w:tr>
        <w:trPr>
          <w:cantSplit/>
        </w:trPr>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Exam series</w:t>
            </w:r>
          </w:p>
        </w:tc>
        <w:tc>
          <w:tcPr>
            <w:tcW w:type="dxa" w:w="684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June and November</w:t>
            </w:r>
          </w:p>
        </w:tc>
      </w:tr>
      <w:tr>
        <w:trPr>
          <w:cantSplit/>
        </w:trPr>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8"/>
              </w:rPr>
              <w:t>Assessment language</w:t>
            </w:r>
          </w:p>
        </w:tc>
        <w:tc>
          <w:tcPr>
            <w:tcW w:type="dxa" w:w="6840"/>
            <w:vAlign w:val="center"/>
            <w:tcMar>
              <w:top w:w="90" w:type="dxa"/>
              <w:start w:w="110" w:type="dxa"/>
              <w:bottom w:w="90" w:type="dxa"/>
              <w:end w:w="110" w:type="dxa"/>
            </w:tcMar>
          </w:tcPr>
          <w:p>
            <w:pPr>
              <w:spacing w:after="0" w:line="240" w:lineRule="auto"/>
            </w:pPr>
            <w:r/>
            <w:r>
              <w:rPr>
                <w:rFonts w:ascii="Aptos" w:hAnsi="Aptos"/>
                <w:b w:val="0"/>
                <w:color w:val="263442"/>
                <w:sz w:val="18"/>
              </w:rPr>
              <w:t>English only</w:t>
            </w:r>
          </w:p>
        </w:tc>
      </w:tr>
      <w:tr>
        <w:trPr>
          <w:cantSplit/>
        </w:trPr>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Assessment</w:t>
            </w:r>
          </w:p>
        </w:tc>
        <w:tc>
          <w:tcPr>
            <w:tcW w:type="dxa" w:w="684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Two compulsory written papers</w:t>
            </w:r>
          </w:p>
        </w:tc>
      </w:tr>
      <w:tr>
        <w:trPr>
          <w:cantSplit/>
        </w:trPr>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8"/>
              </w:rPr>
              <w:t>Total marks</w:t>
            </w:r>
          </w:p>
        </w:tc>
        <w:tc>
          <w:tcPr>
            <w:tcW w:type="dxa" w:w="6840"/>
            <w:vAlign w:val="center"/>
            <w:tcMar>
              <w:top w:w="90" w:type="dxa"/>
              <w:start w:w="110" w:type="dxa"/>
              <w:bottom w:w="90" w:type="dxa"/>
              <w:end w:w="110" w:type="dxa"/>
            </w:tcMar>
          </w:tcPr>
          <w:p>
            <w:pPr>
              <w:spacing w:after="0" w:line="240" w:lineRule="auto"/>
            </w:pPr>
            <w:r/>
            <w:r>
              <w:rPr>
                <w:rFonts w:ascii="Aptos" w:hAnsi="Aptos"/>
                <w:b w:val="0"/>
                <w:color w:val="263442"/>
                <w:sz w:val="18"/>
              </w:rPr>
              <w:t>100 (50 per paper)</w:t>
            </w:r>
          </w:p>
        </w:tc>
      </w:tr>
      <w:tr>
        <w:trPr>
          <w:cantSplit/>
        </w:trPr>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Available grades</w:t>
            </w:r>
          </w:p>
        </w:tc>
        <w:tc>
          <w:tcPr>
            <w:tcW w:type="dxa" w:w="684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A* to G</w:t>
            </w:r>
          </w:p>
        </w:tc>
      </w:tr>
      <w:tr>
        <w:trPr>
          <w:cantSplit/>
        </w:trPr>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8"/>
              </w:rPr>
              <w:t>Private candidates</w:t>
            </w:r>
          </w:p>
        </w:tc>
        <w:tc>
          <w:tcPr>
            <w:tcW w:type="dxa" w:w="6840"/>
            <w:vAlign w:val="center"/>
            <w:tcMar>
              <w:top w:w="90" w:type="dxa"/>
              <w:start w:w="110" w:type="dxa"/>
              <w:bottom w:w="90" w:type="dxa"/>
              <w:end w:w="110" w:type="dxa"/>
            </w:tcMar>
          </w:tcPr>
          <w:p>
            <w:pPr>
              <w:spacing w:after="0" w:line="240" w:lineRule="auto"/>
            </w:pPr>
            <w:r/>
            <w:r>
              <w:rPr>
                <w:rFonts w:ascii="Aptos" w:hAnsi="Aptos"/>
                <w:b w:val="0"/>
                <w:color w:val="263442"/>
                <w:sz w:val="18"/>
              </w:rPr>
              <w:t>Accepted</w:t>
            </w:r>
          </w:p>
        </w:tc>
      </w:tr>
      <w:tr>
        <w:trPr>
          <w:cantSplit/>
        </w:trPr>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Syllabus version</w:t>
            </w:r>
          </w:p>
        </w:tc>
        <w:tc>
          <w:tcPr>
            <w:tcW w:type="dxa" w:w="6840"/>
            <w:vAlign w:val="center"/>
            <w:tcMar>
              <w:top w:w="90" w:type="dxa"/>
              <w:start w:w="110" w:type="dxa"/>
              <w:bottom w:w="90" w:type="dxa"/>
              <w:end w:w="110" w:type="dxa"/>
            </w:tcMar>
            <w:shd w:fill="F4F6F8"/>
          </w:tcPr>
          <w:p>
            <w:pPr>
              <w:spacing w:after="0" w:line="240" w:lineRule="auto"/>
            </w:pPr>
            <w:r/>
            <w:r>
              <w:rPr>
                <w:rFonts w:ascii="Aptos" w:hAnsi="Aptos"/>
                <w:b w:val="0"/>
                <w:color w:val="263442"/>
                <w:sz w:val="18"/>
              </w:rPr>
              <w:t>Version 1, published September 2023</w:t>
            </w:r>
          </w:p>
        </w:tc>
      </w:tr>
    </w:tbl>
    <w:p>
      <w:pPr>
        <w:spacing w:after="40"/>
      </w:pP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Purpose of this document</w:t>
            </w:r>
          </w:p>
          <w:p>
            <w:pPr>
              <w:spacing w:after="0"/>
            </w:pPr>
            <w:r>
              <w:t>A website-ready content source for building syllabus overview, paper guides, topic pages, revision navigation, and supporting information. Text is condensed or paraphrased where appropriate; official technical facts are retained.</w:t>
            </w:r>
          </w:p>
        </w:tc>
      </w:tr>
    </w:tbl>
    <w:p>
      <w:pPr>
        <w:spacing w:after="20"/>
      </w:pPr>
    </w:p>
    <w:p>
      <w:pPr>
        <w:spacing w:before="400"/>
        <w:jc w:val="center"/>
      </w:pPr>
      <w:r>
        <w:rPr>
          <w:i/>
          <w:color w:val="66727D"/>
          <w:sz w:val="17"/>
        </w:rPr>
        <w:t>Source: Cambridge IGCSE Islamiyat 0493 syllabus, 2026-2027</w:t>
      </w:r>
    </w:p>
    <w:p>
      <w:r>
        <w:br w:type="page"/>
      </w:r>
    </w:p>
    <w:p>
      <w:pPr>
        <w:pStyle w:val="Heading1"/>
      </w:pPr>
      <w:r>
        <w:t>1. Recommended Website Information Architecture</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Website section</w:t>
            </w:r>
          </w:p>
        </w:tc>
        <w:tc>
          <w:tcPr>
            <w:tcW w:type="dxa" w:w="309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Suggested route</w:t>
            </w:r>
          </w:p>
        </w:tc>
        <w:tc>
          <w:tcPr>
            <w:tcW w:type="dxa" w:w="432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Primary content</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Syllabus overview</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6"/>
              </w:rPr>
              <w:t>/syllabus</w:t>
            </w:r>
          </w:p>
        </w:tc>
        <w:tc>
          <w:tcPr>
            <w:tcW w:type="dxa" w:w="4320"/>
            <w:vAlign w:val="center"/>
            <w:tcMar>
              <w:top w:w="90" w:type="dxa"/>
              <w:start w:w="110" w:type="dxa"/>
              <w:bottom w:w="90" w:type="dxa"/>
              <w:end w:w="110" w:type="dxa"/>
            </w:tcMar>
          </w:tcPr>
          <w:p>
            <w:pPr>
              <w:spacing w:after="0" w:line="240" w:lineRule="auto"/>
            </w:pPr>
            <w:r/>
            <w:r>
              <w:rPr>
                <w:rFonts w:ascii="Aptos" w:hAnsi="Aptos"/>
                <w:b w:val="0"/>
                <w:color w:val="263442"/>
                <w:sz w:val="16"/>
              </w:rPr>
              <w:t>Qualification snapshot, aims, assessment overview</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Paper 1</w:t>
            </w:r>
          </w:p>
        </w:tc>
        <w:tc>
          <w:tcPr>
            <w:tcW w:type="dxa" w:w="309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/syllabus/paper-1</w:t>
            </w:r>
          </w:p>
        </w:tc>
        <w:tc>
          <w:tcPr>
            <w:tcW w:type="dxa" w:w="432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Format, topics, marks, Qur’an passages</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Paper 2</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6"/>
              </w:rPr>
              <w:t>/syllabus/paper-2</w:t>
            </w:r>
          </w:p>
        </w:tc>
        <w:tc>
          <w:tcPr>
            <w:tcW w:type="dxa" w:w="4320"/>
            <w:vAlign w:val="center"/>
            <w:tcMar>
              <w:top w:w="90" w:type="dxa"/>
              <w:start w:w="110" w:type="dxa"/>
              <w:bottom w:w="90" w:type="dxa"/>
              <w:end w:w="110" w:type="dxa"/>
            </w:tcMar>
          </w:tcPr>
          <w:p>
            <w:pPr>
              <w:spacing w:after="0" w:line="240" w:lineRule="auto"/>
            </w:pPr>
            <w:r/>
            <w:r>
              <w:rPr>
                <w:rFonts w:ascii="Aptos" w:hAnsi="Aptos"/>
                <w:b w:val="0"/>
                <w:color w:val="263442"/>
                <w:sz w:val="16"/>
              </w:rPr>
              <w:t>Format, topics, marks, Hadith list</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Assessment objectives</w:t>
            </w:r>
          </w:p>
        </w:tc>
        <w:tc>
          <w:tcPr>
            <w:tcW w:type="dxa" w:w="309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/syllabus/assessment-objectives</w:t>
            </w:r>
          </w:p>
        </w:tc>
        <w:tc>
          <w:tcPr>
            <w:tcW w:type="dxa" w:w="432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AO1, AO2, weightings, response levels</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Qur’an passages</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6"/>
              </w:rPr>
              <w:t>/syllabus/quran-passages</w:t>
            </w:r>
          </w:p>
        </w:tc>
        <w:tc>
          <w:tcPr>
            <w:tcW w:type="dxa" w:w="4320"/>
            <w:vAlign w:val="center"/>
            <w:tcMar>
              <w:top w:w="90" w:type="dxa"/>
              <w:start w:w="110" w:type="dxa"/>
              <w:bottom w:w="90" w:type="dxa"/>
              <w:end w:w="110" w:type="dxa"/>
            </w:tcMar>
          </w:tcPr>
          <w:p>
            <w:pPr>
              <w:spacing w:after="0" w:line="240" w:lineRule="auto"/>
            </w:pPr>
            <w:r/>
            <w:r>
              <w:rPr>
                <w:rFonts w:ascii="Aptos" w:hAnsi="Aptos"/>
                <w:b w:val="0"/>
                <w:color w:val="263442"/>
                <w:sz w:val="16"/>
              </w:rPr>
              <w:t>15 passages grouped by three themes</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Hadiths</w:t>
            </w:r>
          </w:p>
        </w:tc>
        <w:tc>
          <w:tcPr>
            <w:tcW w:type="dxa" w:w="309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/syllabus/hadiths</w:t>
            </w:r>
          </w:p>
        </w:tc>
        <w:tc>
          <w:tcPr>
            <w:tcW w:type="dxa" w:w="432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20 prescribed Hadiths with study themes</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Grade guide</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6"/>
              </w:rPr>
              <w:t>/syllabus/grade-guide</w:t>
            </w:r>
          </w:p>
        </w:tc>
        <w:tc>
          <w:tcPr>
            <w:tcW w:type="dxa" w:w="4320"/>
            <w:vAlign w:val="center"/>
            <w:tcMar>
              <w:top w:w="90" w:type="dxa"/>
              <w:start w:w="110" w:type="dxa"/>
              <w:bottom w:w="90" w:type="dxa"/>
              <w:end w:w="110" w:type="dxa"/>
            </w:tcMar>
          </w:tcPr>
          <w:p>
            <w:pPr>
              <w:spacing w:after="0" w:line="240" w:lineRule="auto"/>
            </w:pPr>
            <w:r/>
            <w:r>
              <w:rPr>
                <w:rFonts w:ascii="Aptos" w:hAnsi="Aptos"/>
                <w:b w:val="0"/>
                <w:color w:val="263442"/>
                <w:sz w:val="16"/>
              </w:rPr>
              <w:t>Grade A, C and F descriptors</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Exam information</w:t>
            </w:r>
          </w:p>
        </w:tc>
        <w:tc>
          <w:tcPr>
            <w:tcW w:type="dxa" w:w="309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/syllabus/exam-information</w:t>
            </w:r>
          </w:p>
        </w:tc>
        <w:tc>
          <w:tcPr>
            <w:tcW w:type="dxa" w:w="432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Series, language, eligibility, retakes, access</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Resources</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6"/>
              </w:rPr>
              <w:t>/resources</w:t>
            </w:r>
          </w:p>
        </w:tc>
        <w:tc>
          <w:tcPr>
            <w:tcW w:type="dxa" w:w="4320"/>
            <w:vAlign w:val="center"/>
            <w:tcMar>
              <w:top w:w="90" w:type="dxa"/>
              <w:start w:w="110" w:type="dxa"/>
              <w:bottom w:w="90" w:type="dxa"/>
              <w:end w:w="110" w:type="dxa"/>
            </w:tcMar>
          </w:tcPr>
          <w:p>
            <w:pPr>
              <w:spacing w:after="0" w:line="240" w:lineRule="auto"/>
            </w:pPr>
            <w:r/>
            <w:r>
              <w:rPr>
                <w:rFonts w:ascii="Aptos" w:hAnsi="Aptos"/>
                <w:b w:val="0"/>
                <w:color w:val="263442"/>
                <w:sz w:val="16"/>
              </w:rPr>
              <w:t>Past papers, specimen papers, examiner reports, support links</w:t>
            </w:r>
          </w:p>
        </w:tc>
      </w:tr>
    </w:tbl>
    <w:p>
      <w:pPr>
        <w:spacing w:after="40"/>
      </w:pPr>
    </w:p>
    <w:p>
      <w:pPr>
        <w:pStyle w:val="Heading1"/>
      </w:pPr>
      <w:r>
        <w:t>2. Qualification Overview</w:t>
      </w:r>
    </w:p>
    <w:p>
      <w:pPr>
        <w:pStyle w:val="Heading2"/>
      </w:pPr>
      <w:r>
        <w:t>Website-ready summary</w:t>
      </w:r>
    </w:p>
    <w:p>
      <w:r>
        <w:t>Cambridge IGCSE Islamiyat (0493) develops knowledge and understanding of the major beliefs of Islam, the Qur’an and Hadith, the life of the Prophet Muhammad (pbuh), the early Muslim community, the Rightly Guided Caliphs, and core Islamic beliefs and practices. Students learn to recall accurate evidence, explain its religious and historical significance, and connect belief with Muslim life.</w:t>
      </w:r>
    </w:p>
    <w:p>
      <w:pPr>
        <w:pStyle w:val="Heading2"/>
      </w:pPr>
      <w:r>
        <w:t>Key facts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7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Data field</w:t>
            </w:r>
          </w:p>
        </w:tc>
        <w:tc>
          <w:tcPr>
            <w:tcW w:type="dxa" w:w="460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Value</w:t>
            </w:r>
          </w:p>
        </w:tc>
        <w:tc>
          <w:tcPr>
            <w:tcW w:type="dxa" w:w="302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Suggested website use</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Course code</w:t>
            </w:r>
          </w:p>
        </w:tc>
        <w:tc>
          <w:tcPr>
            <w:tcW w:type="dxa" w:w="4608"/>
            <w:vAlign w:val="center"/>
            <w:tcMar>
              <w:top w:w="90" w:type="dxa"/>
              <w:start w:w="110" w:type="dxa"/>
              <w:bottom w:w="90" w:type="dxa"/>
              <w:end w:w="110" w:type="dxa"/>
            </w:tcMar>
          </w:tcPr>
          <w:p>
            <w:pPr>
              <w:spacing w:after="0" w:line="240" w:lineRule="auto"/>
            </w:pPr>
            <w:r/>
            <w:r>
              <w:rPr>
                <w:rFonts w:ascii="Aptos" w:hAnsi="Aptos"/>
                <w:b w:val="0"/>
                <w:color w:val="263442"/>
                <w:sz w:val="16"/>
              </w:rPr>
              <w:t>0493</w:t>
            </w:r>
          </w:p>
        </w:tc>
        <w:tc>
          <w:tcPr>
            <w:tcW w:type="dxa" w:w="3024"/>
            <w:vAlign w:val="center"/>
            <w:tcMar>
              <w:top w:w="90" w:type="dxa"/>
              <w:start w:w="110" w:type="dxa"/>
              <w:bottom w:w="90" w:type="dxa"/>
              <w:end w:w="110" w:type="dxa"/>
            </w:tcMar>
          </w:tcPr>
          <w:p>
            <w:pPr>
              <w:spacing w:after="0" w:line="240" w:lineRule="auto"/>
            </w:pPr>
            <w:r/>
            <w:r>
              <w:rPr>
                <w:rFonts w:ascii="Aptos" w:hAnsi="Aptos"/>
                <w:b w:val="0"/>
                <w:color w:val="263442"/>
                <w:sz w:val="16"/>
              </w:rPr>
              <w:t>Hero, metadata, filters</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Typical learner age</w:t>
            </w:r>
          </w:p>
        </w:tc>
        <w:tc>
          <w:tcPr>
            <w:tcW w:type="dxa" w:w="460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Cambridge IGCSE is mainly for ages 14-16, but may be taken at other ages</w:t>
            </w:r>
          </w:p>
        </w:tc>
        <w:tc>
          <w:tcPr>
            <w:tcW w:type="dxa" w:w="302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Overview / FAQ</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Guided learning</w:t>
            </w:r>
          </w:p>
        </w:tc>
        <w:tc>
          <w:tcPr>
            <w:tcW w:type="dxa" w:w="4608"/>
            <w:vAlign w:val="center"/>
            <w:tcMar>
              <w:top w:w="90" w:type="dxa"/>
              <w:start w:w="110" w:type="dxa"/>
              <w:bottom w:w="90" w:type="dxa"/>
              <w:end w:w="110" w:type="dxa"/>
            </w:tcMar>
          </w:tcPr>
          <w:p>
            <w:pPr>
              <w:spacing w:after="0" w:line="240" w:lineRule="auto"/>
            </w:pPr>
            <w:r/>
            <w:r>
              <w:rPr>
                <w:rFonts w:ascii="Aptos" w:hAnsi="Aptos"/>
                <w:b w:val="0"/>
                <w:color w:val="263442"/>
                <w:sz w:val="16"/>
              </w:rPr>
              <w:t>About 130 hours per subject (guidance only)</w:t>
            </w:r>
          </w:p>
        </w:tc>
        <w:tc>
          <w:tcPr>
            <w:tcW w:type="dxa" w:w="3024"/>
            <w:vAlign w:val="center"/>
            <w:tcMar>
              <w:top w:w="90" w:type="dxa"/>
              <w:start w:w="110" w:type="dxa"/>
              <w:bottom w:w="90" w:type="dxa"/>
              <w:end w:w="110" w:type="dxa"/>
            </w:tcMar>
          </w:tcPr>
          <w:p>
            <w:pPr>
              <w:spacing w:after="0" w:line="240" w:lineRule="auto"/>
            </w:pPr>
            <w:r/>
            <w:r>
              <w:rPr>
                <w:rFonts w:ascii="Aptos" w:hAnsi="Aptos"/>
                <w:b w:val="0"/>
                <w:color w:val="263442"/>
                <w:sz w:val="16"/>
              </w:rPr>
              <w:t>Course planning</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Prior learning</w:t>
            </w:r>
          </w:p>
        </w:tc>
        <w:tc>
          <w:tcPr>
            <w:tcW w:type="dxa" w:w="460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No previous study of Islamiyat, Islamic Studies or Religious Studies is required</w:t>
            </w:r>
          </w:p>
        </w:tc>
        <w:tc>
          <w:tcPr>
            <w:tcW w:type="dxa" w:w="302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Eligibility / FAQ</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Progression</w:t>
            </w:r>
          </w:p>
        </w:tc>
        <w:tc>
          <w:tcPr>
            <w:tcW w:type="dxa" w:w="4608"/>
            <w:vAlign w:val="center"/>
            <w:tcMar>
              <w:top w:w="90" w:type="dxa"/>
              <w:start w:w="110" w:type="dxa"/>
              <w:bottom w:w="90" w:type="dxa"/>
              <w:end w:w="110" w:type="dxa"/>
            </w:tcMar>
          </w:tcPr>
          <w:p>
            <w:pPr>
              <w:spacing w:after="0" w:line="240" w:lineRule="auto"/>
            </w:pPr>
            <w:r/>
            <w:r>
              <w:rPr>
                <w:rFonts w:ascii="Aptos" w:hAnsi="Aptos"/>
                <w:b w:val="0"/>
                <w:color w:val="263442"/>
                <w:sz w:val="16"/>
              </w:rPr>
              <w:t>Grades A*-C prepare learners for Cambridge International AS &amp; A Level Islamic Studies or equivalent</w:t>
            </w:r>
          </w:p>
        </w:tc>
        <w:tc>
          <w:tcPr>
            <w:tcW w:type="dxa" w:w="3024"/>
            <w:vAlign w:val="center"/>
            <w:tcMar>
              <w:top w:w="90" w:type="dxa"/>
              <w:start w:w="110" w:type="dxa"/>
              <w:bottom w:w="90" w:type="dxa"/>
              <w:end w:w="110" w:type="dxa"/>
            </w:tcMar>
          </w:tcPr>
          <w:p>
            <w:pPr>
              <w:spacing w:after="0" w:line="240" w:lineRule="auto"/>
            </w:pPr>
            <w:r/>
            <w:r>
              <w:rPr>
                <w:rFonts w:ascii="Aptos" w:hAnsi="Aptos"/>
                <w:b w:val="0"/>
                <w:color w:val="263442"/>
                <w:sz w:val="16"/>
              </w:rPr>
              <w:t>Progression</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Recognition</w:t>
            </w:r>
          </w:p>
        </w:tc>
        <w:tc>
          <w:tcPr>
            <w:tcW w:type="dxa" w:w="460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Cambridge IGCSE qualifications are recognised by universities and employers internationally</w:t>
            </w:r>
          </w:p>
        </w:tc>
        <w:tc>
          <w:tcPr>
            <w:tcW w:type="dxa" w:w="302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Overview</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Availability</w:t>
            </w:r>
          </w:p>
        </w:tc>
        <w:tc>
          <w:tcPr>
            <w:tcW w:type="dxa" w:w="4608"/>
            <w:vAlign w:val="center"/>
            <w:tcMar>
              <w:top w:w="90" w:type="dxa"/>
              <w:start w:w="110" w:type="dxa"/>
              <w:bottom w:w="90" w:type="dxa"/>
              <w:end w:w="110" w:type="dxa"/>
            </w:tcMar>
          </w:tcPr>
          <w:p>
            <w:pPr>
              <w:spacing w:after="0" w:line="240" w:lineRule="auto"/>
            </w:pPr>
            <w:r/>
            <w:r>
              <w:rPr>
                <w:rFonts w:ascii="Aptos" w:hAnsi="Aptos"/>
                <w:b w:val="0"/>
                <w:color w:val="263442"/>
                <w:sz w:val="16"/>
              </w:rPr>
              <w:t>June and November; not available in every administrative zone</w:t>
            </w:r>
          </w:p>
        </w:tc>
        <w:tc>
          <w:tcPr>
            <w:tcW w:type="dxa" w:w="3024"/>
            <w:vAlign w:val="center"/>
            <w:tcMar>
              <w:top w:w="90" w:type="dxa"/>
              <w:start w:w="110" w:type="dxa"/>
              <w:bottom w:w="90" w:type="dxa"/>
              <w:end w:w="110" w:type="dxa"/>
            </w:tcMar>
          </w:tcPr>
          <w:p>
            <w:pPr>
              <w:spacing w:after="0" w:line="240" w:lineRule="auto"/>
            </w:pPr>
            <w:r/>
            <w:r>
              <w:rPr>
                <w:rFonts w:ascii="Aptos" w:hAnsi="Aptos"/>
                <w:b w:val="0"/>
                <w:color w:val="263442"/>
                <w:sz w:val="16"/>
              </w:rPr>
              <w:t>Exam information</w:t>
            </w:r>
          </w:p>
        </w:tc>
      </w:tr>
    </w:tbl>
    <w:p>
      <w:pPr>
        <w:spacing w:after="40"/>
      </w:pPr>
    </w:p>
    <w:p>
      <w:pPr>
        <w:pStyle w:val="Heading2"/>
      </w:pPr>
      <w:r>
        <w:t>Learning outcomes highlighted by Cambridge</w:t>
      </w:r>
    </w:p>
    <w:p>
      <w:pPr>
        <w:pStyle w:val="ListBullet"/>
        <w:spacing w:after="40"/>
        <w:ind w:left="317" w:hanging="230"/>
      </w:pPr>
      <w:r>
        <w:t>Understand the importance of Islam’s major beliefs and the early history of the Muslim community.</w:t>
      </w:r>
    </w:p>
    <w:p>
      <w:pPr>
        <w:pStyle w:val="ListBullet"/>
        <w:spacing w:after="40"/>
        <w:ind w:left="317" w:hanging="230"/>
      </w:pPr>
      <w:r>
        <w:t>Evaluate how Islamic beliefs influence the daily lives and thought of Muslims around the world.</w:t>
      </w:r>
    </w:p>
    <w:p>
      <w:pPr>
        <w:pStyle w:val="ListBullet"/>
        <w:spacing w:after="40"/>
        <w:ind w:left="317" w:hanging="230"/>
      </w:pPr>
      <w:r>
        <w:t>Develop familiarity with Qur’anic and Hadith texts in Arabic.</w:t>
      </w:r>
    </w:p>
    <w:p>
      <w:pPr>
        <w:pStyle w:val="Heading1"/>
      </w:pPr>
      <w:r>
        <w:t>3. Syllabus Aims</w:t>
      </w:r>
    </w:p>
    <w:p>
      <w:pPr>
        <w:pStyle w:val="ListBullet"/>
        <w:spacing w:after="40"/>
        <w:ind w:left="317" w:hanging="230"/>
      </w:pPr>
      <w:r>
        <w:t>Acquire knowledge of the major sources of Islam, its main beliefs and its early history.</w:t>
      </w:r>
    </w:p>
    <w:p>
      <w:pPr>
        <w:pStyle w:val="ListBullet"/>
        <w:spacing w:after="40"/>
        <w:ind w:left="317" w:hanging="230"/>
      </w:pPr>
      <w:r>
        <w:t>Develop an enquiring approach to the study of Islam.</w:t>
      </w:r>
    </w:p>
    <w:p>
      <w:pPr>
        <w:pStyle w:val="ListBullet"/>
        <w:spacing w:after="40"/>
        <w:ind w:left="317" w:hanging="230"/>
      </w:pPr>
      <w:r>
        <w:t>Identify and explore religious, historical and moral questions raised by the material studied.</w:t>
      </w:r>
    </w:p>
    <w:p>
      <w:r>
        <w:br w:type="page"/>
      </w:r>
    </w:p>
    <w:p>
      <w:pPr>
        <w:pStyle w:val="Heading1"/>
      </w:pPr>
      <w:r>
        <w:t>4. Assessment at a Glance</w:t>
      </w: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Compulsory assessment</w:t>
            </w:r>
          </w:p>
          <w:p>
            <w:pPr>
              <w:spacing w:after="0"/>
            </w:pPr>
            <w:r>
              <w:t>Every candidate takes both written papers and answers in English. Both papers are required for the award of a grade.</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7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Feature</w:t>
            </w:r>
          </w:p>
        </w:tc>
        <w:tc>
          <w:tcPr>
            <w:tcW w:type="dxa" w:w="381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Paper 1</w:t>
            </w:r>
          </w:p>
        </w:tc>
        <w:tc>
          <w:tcPr>
            <w:tcW w:type="dxa" w:w="381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Paper 2</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Duration</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1 hour 30 minutes</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1 hour 30 minutes</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Total marks</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50</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50</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Questions on paper</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5</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5</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Questions answered</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4: Questions 1 and 2, plus two others</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4: Questions 1 and 2, plus two others</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Question 1</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Qur’an passages: choose 2 of 3; 8 marks</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Hadith passages: choose 2 of 4; 8 marks</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Question 2</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History and importance of the Qur’an; 14 marks</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History and importance of Hadith; 14 marks</w:t>
            </w:r>
          </w:p>
        </w:tc>
      </w:tr>
      <w:tr>
        <w:trPr>
          <w:cantSplit/>
        </w:trPr>
        <w:tc>
          <w:tcPr>
            <w:tcW w:type="dxa" w:w="1872"/>
            <w:vAlign w:val="center"/>
            <w:tcMar>
              <w:top w:w="90" w:type="dxa"/>
              <w:start w:w="110" w:type="dxa"/>
              <w:bottom w:w="90" w:type="dxa"/>
              <w:end w:w="110" w:type="dxa"/>
            </w:tcMar>
          </w:tcPr>
          <w:p>
            <w:pPr>
              <w:spacing w:after="0" w:line="240" w:lineRule="auto"/>
            </w:pPr>
            <w:r/>
            <w:r>
              <w:rPr>
                <w:rFonts w:ascii="Aptos" w:hAnsi="Aptos"/>
                <w:b w:val="0"/>
                <w:color w:val="263442"/>
                <w:sz w:val="16"/>
              </w:rPr>
              <w:t>Options</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Two 14-mark answers from the remaining questions</w:t>
            </w:r>
          </w:p>
        </w:tc>
        <w:tc>
          <w:tcPr>
            <w:tcW w:type="dxa" w:w="3816"/>
            <w:vAlign w:val="center"/>
            <w:tcMar>
              <w:top w:w="90" w:type="dxa"/>
              <w:start w:w="110" w:type="dxa"/>
              <w:bottom w:w="90" w:type="dxa"/>
              <w:end w:w="110" w:type="dxa"/>
            </w:tcMar>
          </w:tcPr>
          <w:p>
            <w:pPr>
              <w:spacing w:after="0" w:line="240" w:lineRule="auto"/>
            </w:pPr>
            <w:r/>
            <w:r>
              <w:rPr>
                <w:rFonts w:ascii="Aptos" w:hAnsi="Aptos"/>
                <w:b w:val="0"/>
                <w:color w:val="263442"/>
                <w:sz w:val="16"/>
              </w:rPr>
              <w:t>Two 14-mark answers from the remaining questions</w:t>
            </w:r>
          </w:p>
        </w:tc>
      </w:tr>
      <w:tr>
        <w:trPr>
          <w:cantSplit/>
        </w:trPr>
        <w:tc>
          <w:tcPr>
            <w:tcW w:type="dxa" w:w="187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Qualification share</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50%</w:t>
            </w:r>
          </w:p>
        </w:tc>
        <w:tc>
          <w:tcPr>
            <w:tcW w:type="dxa" w:w="38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50%</w:t>
            </w:r>
          </w:p>
        </w:tc>
      </w:tr>
    </w:tbl>
    <w:p>
      <w:pPr>
        <w:spacing w:after="40"/>
      </w:pPr>
    </w:p>
    <w:p>
      <w:pPr>
        <w:pStyle w:val="Heading2"/>
      </w:pPr>
      <w:r>
        <w:t>Candidate answering rule</w:t>
      </w:r>
    </w:p>
    <w:p>
      <w:pPr>
        <w:pStyle w:val="ListNumber"/>
        <w:spacing w:after="40"/>
        <w:ind w:left="360" w:hanging="259"/>
      </w:pPr>
      <w:r>
        <w:t>Answer Question 1.</w:t>
      </w:r>
    </w:p>
    <w:p>
      <w:pPr>
        <w:pStyle w:val="ListNumber"/>
        <w:spacing w:after="40"/>
        <w:ind w:left="360" w:hanging="259"/>
      </w:pPr>
      <w:r>
        <w:t>Answer Question 2.</w:t>
      </w:r>
    </w:p>
    <w:p>
      <w:pPr>
        <w:pStyle w:val="ListNumber"/>
        <w:spacing w:after="40"/>
        <w:ind w:left="360" w:hanging="259"/>
      </w:pPr>
      <w:r>
        <w:t>Choose and answer two questions from Questions 3-5.</w:t>
      </w:r>
    </w:p>
    <w:p>
      <w:pPr>
        <w:pStyle w:val="Heading2"/>
      </w:pPr>
      <w:r>
        <w:t>Question design</w:t>
      </w:r>
    </w:p>
    <w:p>
      <w:pPr>
        <w:pStyle w:val="ListBullet"/>
        <w:spacing w:after="40"/>
        <w:ind w:left="317" w:hanging="230"/>
      </w:pPr>
      <w:r>
        <w:t>Question 1 carries 8 marks and is divided into knowledge and understanding tasks.</w:t>
      </w:r>
    </w:p>
    <w:p>
      <w:pPr>
        <w:pStyle w:val="ListBullet"/>
        <w:spacing w:after="40"/>
        <w:ind w:left="317" w:hanging="230"/>
      </w:pPr>
      <w:r>
        <w:t>Questions 2-5 usually contain more than one part and require essay-length responses.</w:t>
      </w:r>
    </w:p>
    <w:p>
      <w:pPr>
        <w:pStyle w:val="ListBullet"/>
        <w:spacing w:after="40"/>
        <w:ind w:left="317" w:hanging="230"/>
      </w:pPr>
      <w:r>
        <w:t>For the Prophet’s life, the first Islamic community, the Caliphs, and beliefs/practices, the paper may contain one or two questions on each syllabus area.</w:t>
      </w:r>
    </w:p>
    <w:p>
      <w:pPr>
        <w:pStyle w:val="Heading1"/>
      </w:pPr>
      <w:r>
        <w:t>5. Assessment Objectives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86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Objective</w:t>
            </w:r>
          </w:p>
        </w:tc>
        <w:tc>
          <w:tcPr>
            <w:tcW w:type="dxa" w:w="374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Official focus</w:t>
            </w:r>
          </w:p>
        </w:tc>
        <w:tc>
          <w:tcPr>
            <w:tcW w:type="dxa" w:w="158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Qualification weighting</w:t>
            </w:r>
          </w:p>
        </w:tc>
        <w:tc>
          <w:tcPr>
            <w:tcW w:type="dxa" w:w="331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Website-friendly interpretation</w:t>
            </w:r>
          </w:p>
        </w:tc>
      </w:tr>
      <w:tr>
        <w:trPr>
          <w:cantSplit/>
        </w:trPr>
        <w:tc>
          <w:tcPr>
            <w:tcW w:type="dxa" w:w="864"/>
            <w:vAlign w:val="center"/>
            <w:tcMar>
              <w:top w:w="90" w:type="dxa"/>
              <w:start w:w="110" w:type="dxa"/>
              <w:bottom w:w="90" w:type="dxa"/>
              <w:end w:w="110" w:type="dxa"/>
            </w:tcMar>
          </w:tcPr>
          <w:p>
            <w:pPr>
              <w:spacing w:after="0" w:line="240" w:lineRule="auto"/>
            </w:pPr>
            <w:r/>
            <w:r>
              <w:rPr>
                <w:rFonts w:ascii="Aptos" w:hAnsi="Aptos"/>
                <w:b w:val="0"/>
                <w:color w:val="263442"/>
                <w:sz w:val="16"/>
              </w:rPr>
              <w:t>AO1</w:t>
            </w:r>
          </w:p>
        </w:tc>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Recall, select and present relevant facts from the main elements of the faith and history of Islam</w:t>
            </w:r>
          </w:p>
        </w:tc>
        <w:tc>
          <w:tcPr>
            <w:tcW w:type="dxa" w:w="1584"/>
            <w:vAlign w:val="center"/>
            <w:tcMar>
              <w:top w:w="90" w:type="dxa"/>
              <w:start w:w="110" w:type="dxa"/>
              <w:bottom w:w="90" w:type="dxa"/>
              <w:end w:w="110" w:type="dxa"/>
            </w:tcMar>
          </w:tcPr>
          <w:p>
            <w:pPr>
              <w:spacing w:after="0" w:line="240" w:lineRule="auto"/>
            </w:pPr>
            <w:r/>
            <w:r>
              <w:rPr>
                <w:rFonts w:ascii="Aptos" w:hAnsi="Aptos"/>
                <w:b w:val="0"/>
                <w:color w:val="263442"/>
                <w:sz w:val="16"/>
              </w:rPr>
              <w:t>68%</w:t>
            </w:r>
          </w:p>
        </w:tc>
        <w:tc>
          <w:tcPr>
            <w:tcW w:type="dxa" w:w="3312"/>
            <w:vAlign w:val="center"/>
            <w:tcMar>
              <w:top w:w="90" w:type="dxa"/>
              <w:start w:w="110" w:type="dxa"/>
              <w:bottom w:w="90" w:type="dxa"/>
              <w:end w:w="110" w:type="dxa"/>
            </w:tcMar>
          </w:tcPr>
          <w:p>
            <w:pPr>
              <w:spacing w:after="0" w:line="240" w:lineRule="auto"/>
            </w:pPr>
            <w:r/>
            <w:r>
              <w:rPr>
                <w:rFonts w:ascii="Aptos" w:hAnsi="Aptos"/>
                <w:b w:val="0"/>
                <w:color w:val="263442"/>
                <w:sz w:val="16"/>
              </w:rPr>
              <w:t>Accurate knowledge, relevant selection, clear organisation and supporting evidence</w:t>
            </w:r>
          </w:p>
        </w:tc>
      </w:tr>
      <w:tr>
        <w:trPr>
          <w:cantSplit/>
        </w:trPr>
        <w:tc>
          <w:tcPr>
            <w:tcW w:type="dxa" w:w="86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AO2</w:t>
            </w:r>
          </w:p>
        </w:tc>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Demonstrate understanding of their significance in Islamic teachings and Muslim lives</w:t>
            </w:r>
          </w:p>
        </w:tc>
        <w:tc>
          <w:tcPr>
            <w:tcW w:type="dxa" w:w="158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32%</w:t>
            </w:r>
          </w:p>
        </w:tc>
        <w:tc>
          <w:tcPr>
            <w:tcW w:type="dxa" w:w="331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Explanation, significance, reasoned opinion, application and connection between belief and practice</w:t>
            </w:r>
          </w:p>
        </w:tc>
      </w:tr>
    </w:tbl>
    <w:p>
      <w:pPr>
        <w:spacing w:after="40"/>
      </w:pP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Exam skills message for students</w:t>
            </w:r>
          </w:p>
          <w:p>
            <w:pPr>
              <w:spacing w:after="0"/>
            </w:pPr>
            <w:r>
              <w:t>High marks require more than memorised facts. Candidates should select relevant material, organise it clearly, support it with Qur’an or Hadith where appropriate, and explain why the material matters.</w:t>
            </w:r>
          </w:p>
        </w:tc>
      </w:tr>
    </w:tbl>
    <w:p>
      <w:pPr>
        <w:spacing w:after="20"/>
      </w:pPr>
    </w:p>
    <w:p>
      <w:pPr>
        <w:pStyle w:val="Heading2"/>
      </w:pPr>
      <w:r>
        <w:t>Levels of response: AO1 knowledge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79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Level</w:t>
            </w:r>
          </w:p>
        </w:tc>
        <w:tc>
          <w:tcPr>
            <w:tcW w:type="dxa" w:w="93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Q1(a)</w:t>
            </w:r>
          </w:p>
        </w:tc>
        <w:tc>
          <w:tcPr>
            <w:tcW w:type="dxa" w:w="115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Q2-5(a)</w:t>
            </w:r>
          </w:p>
        </w:tc>
        <w:tc>
          <w:tcPr>
            <w:tcW w:type="dxa" w:w="662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Condensed descriptor</w:t>
            </w:r>
          </w:p>
        </w:tc>
      </w:tr>
      <w:tr>
        <w:trPr>
          <w:cantSplit/>
        </w:trPr>
        <w:tc>
          <w:tcPr>
            <w:tcW w:type="dxa" w:w="792"/>
            <w:vAlign w:val="center"/>
            <w:tcMar>
              <w:top w:w="90" w:type="dxa"/>
              <w:start w:w="110" w:type="dxa"/>
              <w:bottom w:w="90" w:type="dxa"/>
              <w:end w:w="110" w:type="dxa"/>
            </w:tcMar>
          </w:tcPr>
          <w:p>
            <w:pPr>
              <w:spacing w:after="0" w:line="240" w:lineRule="auto"/>
            </w:pPr>
            <w:r/>
            <w:r>
              <w:rPr>
                <w:rFonts w:ascii="Aptos" w:hAnsi="Aptos"/>
                <w:b w:val="0"/>
                <w:color w:val="263442"/>
                <w:sz w:val="15"/>
              </w:rPr>
              <w:t>4</w:t>
            </w:r>
          </w:p>
        </w:tc>
        <w:tc>
          <w:tcPr>
            <w:tcW w:type="dxa" w:w="936"/>
            <w:vAlign w:val="center"/>
            <w:tcMar>
              <w:top w:w="90" w:type="dxa"/>
              <w:start w:w="110" w:type="dxa"/>
              <w:bottom w:w="90" w:type="dxa"/>
              <w:end w:w="110" w:type="dxa"/>
            </w:tcMar>
          </w:tcPr>
          <w:p>
            <w:pPr>
              <w:spacing w:after="0" w:line="240" w:lineRule="auto"/>
            </w:pPr>
            <w:r/>
            <w:r>
              <w:rPr>
                <w:rFonts w:ascii="Aptos" w:hAnsi="Aptos"/>
                <w:b w:val="0"/>
                <w:color w:val="263442"/>
                <w:sz w:val="15"/>
              </w:rPr>
              <w:t>4</w:t>
            </w:r>
          </w:p>
        </w:tc>
        <w:tc>
          <w:tcPr>
            <w:tcW w:type="dxa" w:w="1152"/>
            <w:vAlign w:val="center"/>
            <w:tcMar>
              <w:top w:w="90" w:type="dxa"/>
              <w:start w:w="110" w:type="dxa"/>
              <w:bottom w:w="90" w:type="dxa"/>
              <w:end w:w="110" w:type="dxa"/>
            </w:tcMar>
          </w:tcPr>
          <w:p>
            <w:pPr>
              <w:spacing w:after="0" w:line="240" w:lineRule="auto"/>
            </w:pPr>
            <w:r/>
            <w:r>
              <w:rPr>
                <w:rFonts w:ascii="Aptos" w:hAnsi="Aptos"/>
                <w:b w:val="0"/>
                <w:color w:val="263442"/>
                <w:sz w:val="15"/>
              </w:rPr>
              <w:t>8-10</w:t>
            </w:r>
          </w:p>
        </w:tc>
        <w:tc>
          <w:tcPr>
            <w:tcW w:type="dxa" w:w="6624"/>
            <w:vAlign w:val="center"/>
            <w:tcMar>
              <w:top w:w="90" w:type="dxa"/>
              <w:start w:w="110" w:type="dxa"/>
              <w:bottom w:w="90" w:type="dxa"/>
              <w:end w:w="110" w:type="dxa"/>
            </w:tcMar>
          </w:tcPr>
          <w:p>
            <w:pPr>
              <w:spacing w:after="0" w:line="240" w:lineRule="auto"/>
            </w:pPr>
            <w:r/>
            <w:r>
              <w:rPr>
                <w:rFonts w:ascii="Aptos" w:hAnsi="Aptos"/>
                <w:b w:val="0"/>
                <w:color w:val="263442"/>
                <w:sz w:val="15"/>
              </w:rPr>
              <w:t>Clear, comprehensive and well structured; extensive accurate knowledge; detailed, developed and relevant points; likely to use supporting Qur’an/Hadith or other quotations.</w:t>
            </w:r>
          </w:p>
        </w:tc>
      </w:tr>
      <w:tr>
        <w:trPr>
          <w:cantSplit/>
        </w:trPr>
        <w:tc>
          <w:tcPr>
            <w:tcW w:type="dxa" w:w="79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3</w:t>
            </w:r>
          </w:p>
        </w:tc>
        <w:tc>
          <w:tcPr>
            <w:tcW w:type="dxa" w:w="93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3</w:t>
            </w:r>
          </w:p>
        </w:tc>
        <w:tc>
          <w:tcPr>
            <w:tcW w:type="dxa" w:w="115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5-7</w:t>
            </w:r>
          </w:p>
        </w:tc>
        <w:tc>
          <w:tcPr>
            <w:tcW w:type="dxa" w:w="662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Clear and structured; sound relevant knowledge; generally accurate elaboration; may use supporting quotations.</w:t>
            </w:r>
          </w:p>
        </w:tc>
      </w:tr>
      <w:tr>
        <w:trPr>
          <w:cantSplit/>
        </w:trPr>
        <w:tc>
          <w:tcPr>
            <w:tcW w:type="dxa" w:w="792"/>
            <w:vAlign w:val="center"/>
            <w:tcMar>
              <w:top w:w="90" w:type="dxa"/>
              <w:start w:w="110" w:type="dxa"/>
              <w:bottom w:w="90" w:type="dxa"/>
              <w:end w:w="110" w:type="dxa"/>
            </w:tcMar>
          </w:tcPr>
          <w:p>
            <w:pPr>
              <w:spacing w:after="0" w:line="240" w:lineRule="auto"/>
            </w:pPr>
            <w:r/>
            <w:r>
              <w:rPr>
                <w:rFonts w:ascii="Aptos" w:hAnsi="Aptos"/>
                <w:b w:val="0"/>
                <w:color w:val="263442"/>
                <w:sz w:val="15"/>
              </w:rPr>
              <w:t>2</w:t>
            </w:r>
          </w:p>
        </w:tc>
        <w:tc>
          <w:tcPr>
            <w:tcW w:type="dxa" w:w="936"/>
            <w:vAlign w:val="center"/>
            <w:tcMar>
              <w:top w:w="90" w:type="dxa"/>
              <w:start w:w="110" w:type="dxa"/>
              <w:bottom w:w="90" w:type="dxa"/>
              <w:end w:w="110" w:type="dxa"/>
            </w:tcMar>
          </w:tcPr>
          <w:p>
            <w:pPr>
              <w:spacing w:after="0" w:line="240" w:lineRule="auto"/>
            </w:pPr>
            <w:r/>
            <w:r>
              <w:rPr>
                <w:rFonts w:ascii="Aptos" w:hAnsi="Aptos"/>
                <w:b w:val="0"/>
                <w:color w:val="263442"/>
                <w:sz w:val="15"/>
              </w:rPr>
              <w:t>2</w:t>
            </w:r>
          </w:p>
        </w:tc>
        <w:tc>
          <w:tcPr>
            <w:tcW w:type="dxa" w:w="1152"/>
            <w:vAlign w:val="center"/>
            <w:tcMar>
              <w:top w:w="90" w:type="dxa"/>
              <w:start w:w="110" w:type="dxa"/>
              <w:bottom w:w="90" w:type="dxa"/>
              <w:end w:w="110" w:type="dxa"/>
            </w:tcMar>
          </w:tcPr>
          <w:p>
            <w:pPr>
              <w:spacing w:after="0" w:line="240" w:lineRule="auto"/>
            </w:pPr>
            <w:r/>
            <w:r>
              <w:rPr>
                <w:rFonts w:ascii="Aptos" w:hAnsi="Aptos"/>
                <w:b w:val="0"/>
                <w:color w:val="263442"/>
                <w:sz w:val="15"/>
              </w:rPr>
              <w:t>3-4</w:t>
            </w:r>
          </w:p>
        </w:tc>
        <w:tc>
          <w:tcPr>
            <w:tcW w:type="dxa" w:w="6624"/>
            <w:vAlign w:val="center"/>
            <w:tcMar>
              <w:top w:w="90" w:type="dxa"/>
              <w:start w:w="110" w:type="dxa"/>
              <w:bottom w:w="90" w:type="dxa"/>
              <w:end w:w="110" w:type="dxa"/>
            </w:tcMar>
          </w:tcPr>
          <w:p>
            <w:pPr>
              <w:spacing w:after="0" w:line="240" w:lineRule="auto"/>
            </w:pPr>
            <w:r/>
            <w:r>
              <w:rPr>
                <w:rFonts w:ascii="Aptos" w:hAnsi="Aptos"/>
                <w:b w:val="0"/>
                <w:color w:val="263442"/>
                <w:sz w:val="15"/>
              </w:rPr>
              <w:t>Some structure but limited cohesion or development; some main knowledge; detail and relevance are uneven.</w:t>
            </w:r>
          </w:p>
        </w:tc>
      </w:tr>
      <w:tr>
        <w:trPr>
          <w:cantSplit/>
        </w:trPr>
        <w:tc>
          <w:tcPr>
            <w:tcW w:type="dxa" w:w="79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w:t>
            </w:r>
          </w:p>
        </w:tc>
        <w:tc>
          <w:tcPr>
            <w:tcW w:type="dxa" w:w="93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w:t>
            </w:r>
          </w:p>
        </w:tc>
        <w:tc>
          <w:tcPr>
            <w:tcW w:type="dxa" w:w="115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1-2</w:t>
            </w:r>
          </w:p>
        </w:tc>
        <w:tc>
          <w:tcPr>
            <w:tcW w:type="dxa" w:w="662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Limited attempt; weak structure; little knowledge and limited connection to the question.</w:t>
            </w:r>
          </w:p>
        </w:tc>
      </w:tr>
      <w:tr>
        <w:trPr>
          <w:cantSplit/>
        </w:trPr>
        <w:tc>
          <w:tcPr>
            <w:tcW w:type="dxa" w:w="792"/>
            <w:vAlign w:val="center"/>
            <w:tcMar>
              <w:top w:w="90" w:type="dxa"/>
              <w:start w:w="110" w:type="dxa"/>
              <w:bottom w:w="90" w:type="dxa"/>
              <w:end w:w="110" w:type="dxa"/>
            </w:tcMar>
          </w:tcPr>
          <w:p>
            <w:pPr>
              <w:spacing w:after="0" w:line="240" w:lineRule="auto"/>
            </w:pPr>
            <w:r/>
            <w:r>
              <w:rPr>
                <w:rFonts w:ascii="Aptos" w:hAnsi="Aptos"/>
                <w:b w:val="0"/>
                <w:color w:val="263442"/>
                <w:sz w:val="15"/>
              </w:rPr>
              <w:t>0</w:t>
            </w:r>
          </w:p>
        </w:tc>
        <w:tc>
          <w:tcPr>
            <w:tcW w:type="dxa" w:w="936"/>
            <w:vAlign w:val="center"/>
            <w:tcMar>
              <w:top w:w="90" w:type="dxa"/>
              <w:start w:w="110" w:type="dxa"/>
              <w:bottom w:w="90" w:type="dxa"/>
              <w:end w:w="110" w:type="dxa"/>
            </w:tcMar>
          </w:tcPr>
          <w:p>
            <w:pPr>
              <w:spacing w:after="0" w:line="240" w:lineRule="auto"/>
            </w:pPr>
            <w:r/>
            <w:r>
              <w:rPr>
                <w:rFonts w:ascii="Aptos" w:hAnsi="Aptos"/>
                <w:b w:val="0"/>
                <w:color w:val="263442"/>
                <w:sz w:val="15"/>
              </w:rPr>
              <w:t>0</w:t>
            </w:r>
          </w:p>
        </w:tc>
        <w:tc>
          <w:tcPr>
            <w:tcW w:type="dxa" w:w="1152"/>
            <w:vAlign w:val="center"/>
            <w:tcMar>
              <w:top w:w="90" w:type="dxa"/>
              <w:start w:w="110" w:type="dxa"/>
              <w:bottom w:w="90" w:type="dxa"/>
              <w:end w:w="110" w:type="dxa"/>
            </w:tcMar>
          </w:tcPr>
          <w:p>
            <w:pPr>
              <w:spacing w:after="0" w:line="240" w:lineRule="auto"/>
            </w:pPr>
            <w:r/>
            <w:r>
              <w:rPr>
                <w:rFonts w:ascii="Aptos" w:hAnsi="Aptos"/>
                <w:b w:val="0"/>
                <w:color w:val="263442"/>
                <w:sz w:val="15"/>
              </w:rPr>
              <w:t>0</w:t>
            </w:r>
          </w:p>
        </w:tc>
        <w:tc>
          <w:tcPr>
            <w:tcW w:type="dxa" w:w="6624"/>
            <w:vAlign w:val="center"/>
            <w:tcMar>
              <w:top w:w="90" w:type="dxa"/>
              <w:start w:w="110" w:type="dxa"/>
              <w:bottom w:w="90" w:type="dxa"/>
              <w:end w:w="110" w:type="dxa"/>
            </w:tcMar>
          </w:tcPr>
          <w:p>
            <w:pPr>
              <w:spacing w:after="0" w:line="240" w:lineRule="auto"/>
            </w:pPr>
            <w:r/>
            <w:r>
              <w:rPr>
                <w:rFonts w:ascii="Aptos" w:hAnsi="Aptos"/>
                <w:b w:val="0"/>
                <w:color w:val="263442"/>
                <w:sz w:val="15"/>
              </w:rPr>
              <w:t>No creditable content.</w:t>
            </w:r>
          </w:p>
        </w:tc>
      </w:tr>
    </w:tbl>
    <w:p>
      <w:pPr>
        <w:spacing w:after="40"/>
      </w:pPr>
    </w:p>
    <w:p>
      <w:pPr>
        <w:pStyle w:val="Heading2"/>
      </w:pPr>
      <w:r>
        <w:t>Levels of response: AO2 understanding</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00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Level</w:t>
            </w:r>
          </w:p>
        </w:tc>
        <w:tc>
          <w:tcPr>
            <w:tcW w:type="dxa" w:w="115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Marks</w:t>
            </w:r>
          </w:p>
        </w:tc>
        <w:tc>
          <w:tcPr>
            <w:tcW w:type="dxa" w:w="734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Condensed descriptor</w:t>
            </w:r>
          </w:p>
        </w:tc>
      </w:tr>
      <w:tr>
        <w:trPr>
          <w:cantSplit/>
        </w:trPr>
        <w:tc>
          <w:tcPr>
            <w:tcW w:type="dxa" w:w="1008"/>
            <w:vAlign w:val="center"/>
            <w:tcMar>
              <w:top w:w="90" w:type="dxa"/>
              <w:start w:w="110" w:type="dxa"/>
              <w:bottom w:w="90" w:type="dxa"/>
              <w:end w:w="110" w:type="dxa"/>
            </w:tcMar>
          </w:tcPr>
          <w:p>
            <w:pPr>
              <w:spacing w:after="0" w:line="240" w:lineRule="auto"/>
            </w:pPr>
            <w:r/>
            <w:r>
              <w:rPr>
                <w:rFonts w:ascii="Aptos" w:hAnsi="Aptos"/>
                <w:b w:val="0"/>
                <w:color w:val="263442"/>
                <w:sz w:val="16"/>
              </w:rPr>
              <w:t>2</w:t>
            </w:r>
          </w:p>
        </w:tc>
        <w:tc>
          <w:tcPr>
            <w:tcW w:type="dxa" w:w="1152"/>
            <w:vAlign w:val="center"/>
            <w:tcMar>
              <w:top w:w="90" w:type="dxa"/>
              <w:start w:w="110" w:type="dxa"/>
              <w:bottom w:w="90" w:type="dxa"/>
              <w:end w:w="110" w:type="dxa"/>
            </w:tcMar>
          </w:tcPr>
          <w:p>
            <w:pPr>
              <w:spacing w:after="0" w:line="240" w:lineRule="auto"/>
            </w:pPr>
            <w:r/>
            <w:r>
              <w:rPr>
                <w:rFonts w:ascii="Aptos" w:hAnsi="Aptos"/>
                <w:b w:val="0"/>
                <w:color w:val="263442"/>
                <w:sz w:val="16"/>
              </w:rPr>
              <w:t>3-4</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Clear understanding; engages with the question through reasoned personal opinion.</w:t>
            </w:r>
          </w:p>
        </w:tc>
      </w:tr>
      <w:tr>
        <w:trPr>
          <w:cantSplit/>
        </w:trPr>
        <w:tc>
          <w:tcPr>
            <w:tcW w:type="dxa" w:w="100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1</w:t>
            </w:r>
          </w:p>
        </w:tc>
        <w:tc>
          <w:tcPr>
            <w:tcW w:type="dxa" w:w="1152"/>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1-2</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Some understanding; mainly descriptive or factual references with limited discussion.</w:t>
            </w:r>
          </w:p>
        </w:tc>
      </w:tr>
      <w:tr>
        <w:trPr>
          <w:cantSplit/>
        </w:trPr>
        <w:tc>
          <w:tcPr>
            <w:tcW w:type="dxa" w:w="1008"/>
            <w:vAlign w:val="center"/>
            <w:tcMar>
              <w:top w:w="90" w:type="dxa"/>
              <w:start w:w="110" w:type="dxa"/>
              <w:bottom w:w="90" w:type="dxa"/>
              <w:end w:w="110" w:type="dxa"/>
            </w:tcMar>
          </w:tcPr>
          <w:p>
            <w:pPr>
              <w:spacing w:after="0" w:line="240" w:lineRule="auto"/>
            </w:pPr>
            <w:r/>
            <w:r>
              <w:rPr>
                <w:rFonts w:ascii="Aptos" w:hAnsi="Aptos"/>
                <w:b w:val="0"/>
                <w:color w:val="263442"/>
                <w:sz w:val="16"/>
              </w:rPr>
              <w:t>0</w:t>
            </w:r>
          </w:p>
        </w:tc>
        <w:tc>
          <w:tcPr>
            <w:tcW w:type="dxa" w:w="1152"/>
            <w:vAlign w:val="center"/>
            <w:tcMar>
              <w:top w:w="90" w:type="dxa"/>
              <w:start w:w="110" w:type="dxa"/>
              <w:bottom w:w="90" w:type="dxa"/>
              <w:end w:w="110" w:type="dxa"/>
            </w:tcMar>
          </w:tcPr>
          <w:p>
            <w:pPr>
              <w:spacing w:after="0" w:line="240" w:lineRule="auto"/>
            </w:pPr>
            <w:r/>
            <w:r>
              <w:rPr>
                <w:rFonts w:ascii="Aptos" w:hAnsi="Aptos"/>
                <w:b w:val="0"/>
                <w:color w:val="263442"/>
                <w:sz w:val="16"/>
              </w:rPr>
              <w:t>0</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No creditable content.</w:t>
            </w:r>
          </w:p>
        </w:tc>
      </w:tr>
    </w:tbl>
    <w:p>
      <w:pPr>
        <w:spacing w:after="40"/>
      </w:pPr>
    </w:p>
    <w:p>
      <w:r>
        <w:br w:type="page"/>
      </w:r>
    </w:p>
    <w:p>
      <w:pPr>
        <w:pStyle w:val="Heading1"/>
      </w:pPr>
      <w:r>
        <w:t>6. Paper 1: Full Website Content Map</w:t>
      </w:r>
    </w:p>
    <w:p>
      <w:pPr>
        <w:pStyle w:val="Heading2"/>
      </w:pPr>
      <w:r>
        <w:t>Topic 1: Major themes of the Qur’an</w:t>
      </w:r>
    </w:p>
    <w:p>
      <w:pPr>
        <w:pStyle w:val="ListBullet"/>
        <w:spacing w:after="40"/>
        <w:ind w:left="317" w:hanging="230"/>
      </w:pPr>
      <w:r>
        <w:t>Three prescribed groups: Allah in Himself; Allah’s relationship with the created world; Allah’s Messengers.</w:t>
      </w:r>
    </w:p>
    <w:p>
      <w:pPr>
        <w:pStyle w:val="ListBullet"/>
        <w:spacing w:after="40"/>
        <w:ind w:left="317" w:hanging="230"/>
      </w:pPr>
      <w:r>
        <w:t>For every passage, study the major theme or themes and their importance in Muslim lives today.</w:t>
      </w:r>
    </w:p>
    <w:p>
      <w:pPr>
        <w:pStyle w:val="ListBullet"/>
        <w:spacing w:after="40"/>
        <w:ind w:left="317" w:hanging="230"/>
      </w:pPr>
      <w:r>
        <w:t>Study a recognised English translation with reference to the original Arabic.</w:t>
      </w:r>
    </w:p>
    <w:p>
      <w:pPr>
        <w:pStyle w:val="ListBullet"/>
        <w:spacing w:after="40"/>
        <w:ind w:left="317" w:hanging="230"/>
      </w:pPr>
      <w:r>
        <w:t>In the examination, passages appear in Arabic and English; candidates should demonstrate knowledge of both.</w:t>
      </w:r>
    </w:p>
    <w:p>
      <w:pPr>
        <w:pStyle w:val="Heading2"/>
      </w:pPr>
      <w:r>
        <w:t>Topic 2: History and importance of the Qur’an</w:t>
      </w:r>
    </w:p>
    <w:p>
      <w:pPr>
        <w:pStyle w:val="ListBullet"/>
        <w:spacing w:after="40"/>
        <w:ind w:left="317" w:hanging="230"/>
      </w:pPr>
      <w:r>
        <w:t>Revelation to the Prophet Muhammad (pbuh), 610-632.</w:t>
      </w:r>
    </w:p>
    <w:p>
      <w:pPr>
        <w:pStyle w:val="ListBullet"/>
        <w:spacing w:after="40"/>
        <w:ind w:left="317" w:hanging="230"/>
      </w:pPr>
      <w:r>
        <w:t>Compilation under the Rightly Guided Caliphs.</w:t>
      </w:r>
    </w:p>
    <w:p>
      <w:pPr>
        <w:pStyle w:val="ListBullet"/>
        <w:spacing w:after="40"/>
        <w:ind w:left="317" w:hanging="230"/>
      </w:pPr>
      <w:r>
        <w:t>Major themes in prescribed and similar Qur’anic passages.</w:t>
      </w:r>
    </w:p>
    <w:p>
      <w:pPr>
        <w:pStyle w:val="ListBullet"/>
        <w:spacing w:after="40"/>
        <w:ind w:left="317" w:hanging="230"/>
      </w:pPr>
      <w:r>
        <w:t>Use of the Qur’an in legal thinking.</w:t>
      </w:r>
    </w:p>
    <w:p>
      <w:pPr>
        <w:pStyle w:val="ListBullet"/>
        <w:spacing w:after="40"/>
        <w:ind w:left="317" w:hanging="230"/>
      </w:pPr>
      <w:r>
        <w:t>Relationship with Hadith, consensus (ijma‘) and analogy (qiyas).</w:t>
      </w:r>
    </w:p>
    <w:p>
      <w:pPr>
        <w:pStyle w:val="ListBullet"/>
        <w:spacing w:after="40"/>
        <w:ind w:left="317" w:hanging="230"/>
      </w:pPr>
      <w:r>
        <w:t>Significance of the Qur’an as the basis of Islamic thought and action.</w:t>
      </w:r>
    </w:p>
    <w:p>
      <w:pPr>
        <w:pStyle w:val="Heading2"/>
      </w:pPr>
      <w:r>
        <w:t>Topic 3: Life and importance of the Prophet Muhammad (pbuh)</w:t>
      </w:r>
    </w:p>
    <w:p>
      <w:pPr>
        <w:pStyle w:val="ListBullet"/>
        <w:spacing w:after="40"/>
        <w:ind w:left="317" w:hanging="230"/>
      </w:pPr>
      <w:r>
        <w:t>Main events from birth to the call to prophethood.</w:t>
      </w:r>
    </w:p>
    <w:p>
      <w:pPr>
        <w:pStyle w:val="ListBullet"/>
        <w:spacing w:after="40"/>
        <w:ind w:left="317" w:hanging="230"/>
      </w:pPr>
      <w:r>
        <w:t>Activities in Makka and experiences with opponents.</w:t>
      </w:r>
    </w:p>
    <w:p>
      <w:pPr>
        <w:pStyle w:val="ListBullet"/>
        <w:spacing w:after="40"/>
        <w:ind w:left="317" w:hanging="230"/>
      </w:pPr>
      <w:r>
        <w:t>Activities in Madina, leadership of the community, and conflicts with the Makkans and others.</w:t>
      </w:r>
    </w:p>
    <w:p>
      <w:pPr>
        <w:pStyle w:val="ListBullet"/>
        <w:spacing w:after="40"/>
        <w:ind w:left="317" w:hanging="230"/>
      </w:pPr>
      <w:r>
        <w:t>His actions and character.</w:t>
      </w:r>
    </w:p>
    <w:p>
      <w:pPr>
        <w:pStyle w:val="ListBullet"/>
        <w:spacing w:after="40"/>
        <w:ind w:left="317" w:hanging="230"/>
      </w:pPr>
      <w:r>
        <w:t>His example for personal conduct and relationships, including with women and non-Muslims.</w:t>
      </w:r>
    </w:p>
    <w:p>
      <w:pPr>
        <w:pStyle w:val="ListBullet"/>
        <w:spacing w:after="40"/>
        <w:ind w:left="317" w:hanging="230"/>
      </w:pPr>
      <w:r>
        <w:t>His example for Muslim communities in relations with other states.</w:t>
      </w:r>
    </w:p>
    <w:p>
      <w:pPr>
        <w:pStyle w:val="ListBullet"/>
        <w:spacing w:after="40"/>
        <w:ind w:left="317" w:hanging="230"/>
      </w:pPr>
      <w:r>
        <w:t>His significance as the Seal of the Prophets and the last Messenger of Allah.</w:t>
      </w:r>
    </w:p>
    <w:p>
      <w:pPr>
        <w:pStyle w:val="ListBullet"/>
        <w:spacing w:after="40"/>
        <w:ind w:left="317" w:hanging="230"/>
      </w:pPr>
      <w:r>
        <w:t>Accounts of major events, their place in Muslim belief, and their relevance for Muslims today.</w:t>
      </w:r>
    </w:p>
    <w:p>
      <w:pPr>
        <w:pStyle w:val="Heading2"/>
      </w:pPr>
      <w:r>
        <w:t>Topic 4: The first Islamic community</w:t>
      </w:r>
    </w:p>
    <w:p>
      <w:pPr>
        <w:pStyle w:val="ListBullet"/>
        <w:spacing w:after="40"/>
        <w:ind w:left="317" w:hanging="230"/>
      </w:pPr>
      <w:r>
        <w:t>The Prophet’s wives.</w:t>
      </w:r>
    </w:p>
    <w:p>
      <w:pPr>
        <w:pStyle w:val="ListBullet"/>
        <w:spacing w:after="40"/>
        <w:ind w:left="317" w:hanging="230"/>
      </w:pPr>
      <w:r>
        <w:t>His children and grandchildren, and the direct line recognised by Shi‘a Muslims as Imams.</w:t>
      </w:r>
    </w:p>
    <w:p>
      <w:pPr>
        <w:pStyle w:val="ListBullet"/>
        <w:spacing w:after="40"/>
        <w:ind w:left="317" w:hanging="230"/>
      </w:pPr>
      <w:r>
        <w:t>Leading Companions: the Ten Blessed Companions, scribes, major figures around the Prophet, Emigrants (Muhajirun), Helpers (Ansar), and the four Rightly Guided Caliphs during the Prophet’s lifetime.</w:t>
      </w:r>
    </w:p>
    <w:p>
      <w:pPr>
        <w:pStyle w:val="ListBullet"/>
        <w:spacing w:after="40"/>
        <w:ind w:left="317" w:hanging="230"/>
      </w:pPr>
      <w:r>
        <w:t>Names, important life facts, actions, experiences, and significance in Islamic history and belief.</w:t>
      </w:r>
    </w:p>
    <w:p>
      <w:pPr>
        <w:pStyle w:val="ListBullet"/>
        <w:spacing w:after="40"/>
        <w:ind w:left="317" w:hanging="230"/>
      </w:pPr>
      <w:r>
        <w:t>The Caliphs’ rule after the Prophet’s lifetime is assessed under Paper 2.</w:t>
      </w:r>
    </w:p>
    <w:p>
      <w:r>
        <w:br w:type="page"/>
      </w:r>
    </w:p>
    <w:p>
      <w:pPr>
        <w:pStyle w:val="Heading1"/>
      </w:pPr>
      <w:r>
        <w:t>7. Paper 2: Full Website Content Map</w:t>
      </w:r>
    </w:p>
    <w:p>
      <w:pPr>
        <w:pStyle w:val="Heading2"/>
      </w:pPr>
      <w:r>
        <w:t>Topic 1: Major teachings in the Hadiths</w:t>
      </w:r>
    </w:p>
    <w:p>
      <w:pPr>
        <w:pStyle w:val="ListBullet"/>
        <w:spacing w:after="40"/>
        <w:ind w:left="317" w:hanging="230"/>
      </w:pPr>
      <w:r>
        <w:t>Two broad groups: individual conduct and life in the community.</w:t>
      </w:r>
    </w:p>
    <w:p>
      <w:pPr>
        <w:pStyle w:val="ListBullet"/>
        <w:spacing w:after="40"/>
        <w:ind w:left="317" w:hanging="230"/>
      </w:pPr>
      <w:r>
        <w:t>For every Hadith, study what Muslims should believe and how they should act.</w:t>
      </w:r>
    </w:p>
    <w:p>
      <w:pPr>
        <w:pStyle w:val="ListBullet"/>
        <w:spacing w:after="40"/>
        <w:ind w:left="317" w:hanging="230"/>
      </w:pPr>
      <w:r>
        <w:t>Study the original Arabic text alongside the English translation.</w:t>
      </w:r>
    </w:p>
    <w:p>
      <w:pPr>
        <w:pStyle w:val="ListBullet"/>
        <w:spacing w:after="40"/>
        <w:ind w:left="317" w:hanging="230"/>
      </w:pPr>
      <w:r>
        <w:t>In the examination, passages are printed in Arabic and English.</w:t>
      </w:r>
    </w:p>
    <w:p>
      <w:pPr>
        <w:pStyle w:val="Heading2"/>
      </w:pPr>
      <w:r>
        <w:t>Topic 2: History and importance of Hadith</w:t>
      </w:r>
    </w:p>
    <w:p>
      <w:pPr>
        <w:pStyle w:val="ListBullet"/>
        <w:spacing w:after="40"/>
        <w:ind w:left="317" w:hanging="230"/>
      </w:pPr>
      <w:r>
        <w:t>History of Hadith compilation and the earliest collections.</w:t>
      </w:r>
    </w:p>
    <w:p>
      <w:pPr>
        <w:pStyle w:val="ListBullet"/>
        <w:spacing w:after="40"/>
        <w:ind w:left="317" w:hanging="230"/>
      </w:pPr>
      <w:r>
        <w:t>Main musnad and musannaf collections.</w:t>
      </w:r>
    </w:p>
    <w:p>
      <w:pPr>
        <w:pStyle w:val="ListBullet"/>
        <w:spacing w:after="40"/>
        <w:ind w:left="317" w:hanging="230"/>
      </w:pPr>
      <w:r>
        <w:t>Major compilers and their work.</w:t>
      </w:r>
    </w:p>
    <w:p>
      <w:pPr>
        <w:pStyle w:val="ListBullet"/>
        <w:spacing w:after="40"/>
        <w:ind w:left="317" w:hanging="230"/>
      </w:pPr>
      <w:r>
        <w:t>Testing reliability through the chain of transmitters (isnad) and text (matn).</w:t>
      </w:r>
    </w:p>
    <w:p>
      <w:pPr>
        <w:pStyle w:val="ListBullet"/>
        <w:spacing w:after="40"/>
        <w:ind w:left="317" w:hanging="230"/>
      </w:pPr>
      <w:r>
        <w:t>Main features of the six Sunni collections and four Shi‘a collections.</w:t>
      </w:r>
    </w:p>
    <w:p>
      <w:pPr>
        <w:pStyle w:val="ListBullet"/>
        <w:spacing w:after="40"/>
        <w:ind w:left="317" w:hanging="230"/>
      </w:pPr>
      <w:r>
        <w:t>Major themes in prescribed and similar Hadiths.</w:t>
      </w:r>
    </w:p>
    <w:p>
      <w:pPr>
        <w:pStyle w:val="ListBullet"/>
        <w:spacing w:after="40"/>
        <w:ind w:left="317" w:hanging="230"/>
      </w:pPr>
      <w:r>
        <w:t>Use in legal thought and relationship with the Qur’an, ijma‘ and qiyas.</w:t>
      </w:r>
    </w:p>
    <w:p>
      <w:pPr>
        <w:pStyle w:val="ListBullet"/>
        <w:spacing w:after="40"/>
        <w:ind w:left="317" w:hanging="230"/>
      </w:pPr>
      <w:r>
        <w:t>Significance of Hadith in Islamic thought and action.</w:t>
      </w:r>
    </w:p>
    <w:p>
      <w:pPr>
        <w:pStyle w:val="Heading2"/>
      </w:pPr>
      <w:r>
        <w:t>Topic 3: The Rightly Guided Caliphs</w:t>
      </w:r>
    </w:p>
    <w:p>
      <w:pPr>
        <w:pStyle w:val="ListBullet"/>
        <w:spacing w:after="40"/>
        <w:ind w:left="317" w:hanging="230"/>
      </w:pPr>
      <w:r>
        <w:t>Major events during the rule of Abu Bakr, ‘Umar, ‘Uthman and ‘Ali.</w:t>
      </w:r>
    </w:p>
    <w:p>
      <w:pPr>
        <w:pStyle w:val="ListBullet"/>
        <w:spacing w:after="40"/>
        <w:ind w:left="317" w:hanging="230"/>
      </w:pPr>
      <w:r>
        <w:t>Policies for maintaining and expanding the state.</w:t>
      </w:r>
    </w:p>
    <w:p>
      <w:pPr>
        <w:pStyle w:val="ListBullet"/>
        <w:spacing w:after="40"/>
        <w:ind w:left="317" w:hanging="230"/>
      </w:pPr>
      <w:r>
        <w:t>Approaches to leadership and community governance.</w:t>
      </w:r>
    </w:p>
    <w:p>
      <w:pPr>
        <w:pStyle w:val="ListBullet"/>
        <w:spacing w:after="40"/>
        <w:ind w:left="317" w:hanging="230"/>
      </w:pPr>
      <w:r>
        <w:t>Major achievements and difficulties.</w:t>
      </w:r>
    </w:p>
    <w:p>
      <w:pPr>
        <w:pStyle w:val="ListBullet"/>
        <w:spacing w:after="40"/>
        <w:ind w:left="317" w:hanging="230"/>
      </w:pPr>
      <w:r>
        <w:t>Significance as leadership examples.</w:t>
      </w:r>
    </w:p>
    <w:p>
      <w:pPr>
        <w:pStyle w:val="ListBullet"/>
        <w:spacing w:after="40"/>
        <w:ind w:left="317" w:hanging="230"/>
      </w:pPr>
      <w:r>
        <w:t>Their governments as possible models today.</w:t>
      </w:r>
    </w:p>
    <w:p>
      <w:pPr>
        <w:pStyle w:val="ListBullet"/>
        <w:spacing w:after="40"/>
        <w:ind w:left="317" w:hanging="230"/>
      </w:pPr>
      <w:r>
        <w:t>Their example for relations between Muslim communities and other states.</w:t>
      </w:r>
    </w:p>
    <w:p>
      <w:pPr>
        <w:pStyle w:val="Heading2"/>
      </w:pPr>
      <w:r>
        <w:t>Topic 4: Articles of Faith, Jihad and Pillars of Islam</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Area</w:t>
            </w:r>
          </w:p>
        </w:tc>
        <w:tc>
          <w:tcPr>
            <w:tcW w:type="dxa" w:w="741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Prescribed content</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Six Articles of Faith</w:t>
            </w:r>
          </w:p>
        </w:tc>
        <w:tc>
          <w:tcPr>
            <w:tcW w:type="dxa" w:w="7416"/>
            <w:vAlign w:val="center"/>
            <w:tcMar>
              <w:top w:w="90" w:type="dxa"/>
              <w:start w:w="110" w:type="dxa"/>
              <w:bottom w:w="90" w:type="dxa"/>
              <w:end w:w="110" w:type="dxa"/>
            </w:tcMar>
          </w:tcPr>
          <w:p>
            <w:pPr>
              <w:spacing w:after="0" w:line="240" w:lineRule="auto"/>
            </w:pPr>
            <w:r/>
            <w:r>
              <w:rPr>
                <w:rFonts w:ascii="Aptos" w:hAnsi="Aptos"/>
                <w:b w:val="0"/>
                <w:color w:val="263442"/>
                <w:sz w:val="16"/>
              </w:rPr>
              <w:t>Allah; angels; revealed books; prophets; predestination and decree; resurrection and the Last Day</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Jihad</w:t>
            </w:r>
          </w:p>
        </w:tc>
        <w:tc>
          <w:tcPr>
            <w:tcW w:type="dxa" w:w="74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Its physical, mental and spiritual meanings</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Five Pillars</w:t>
            </w:r>
          </w:p>
        </w:tc>
        <w:tc>
          <w:tcPr>
            <w:tcW w:type="dxa" w:w="7416"/>
            <w:vAlign w:val="center"/>
            <w:tcMar>
              <w:top w:w="90" w:type="dxa"/>
              <w:start w:w="110" w:type="dxa"/>
              <w:bottom w:w="90" w:type="dxa"/>
              <w:end w:w="110" w:type="dxa"/>
            </w:tcMar>
          </w:tcPr>
          <w:p>
            <w:pPr>
              <w:spacing w:after="0" w:line="240" w:lineRule="auto"/>
            </w:pPr>
            <w:r/>
            <w:r>
              <w:rPr>
                <w:rFonts w:ascii="Aptos" w:hAnsi="Aptos"/>
                <w:b w:val="0"/>
                <w:color w:val="263442"/>
                <w:sz w:val="16"/>
              </w:rPr>
              <w:t>Shahada; salat; zakat; sawm; hajj</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Salat details</w:t>
            </w:r>
          </w:p>
        </w:tc>
        <w:tc>
          <w:tcPr>
            <w:tcW w:type="dxa" w:w="74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Preparation, performance, importance, Friday and festival congregations, times and place, private and delayed prayer</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Sawm details</w:t>
            </w:r>
          </w:p>
        </w:tc>
        <w:tc>
          <w:tcPr>
            <w:tcW w:type="dxa" w:w="7416"/>
            <w:vAlign w:val="center"/>
            <w:tcMar>
              <w:top w:w="90" w:type="dxa"/>
              <w:start w:w="110" w:type="dxa"/>
              <w:bottom w:w="90" w:type="dxa"/>
              <w:end w:w="110" w:type="dxa"/>
            </w:tcMar>
          </w:tcPr>
          <w:p>
            <w:pPr>
              <w:spacing w:after="0" w:line="240" w:lineRule="auto"/>
            </w:pPr>
            <w:r/>
            <w:r>
              <w:rPr>
                <w:rFonts w:ascii="Aptos" w:hAnsi="Aptos"/>
                <w:b w:val="0"/>
                <w:color w:val="263442"/>
                <w:sz w:val="16"/>
              </w:rPr>
              <w:t>Observance, significance and exemptions</w:t>
            </w:r>
          </w:p>
        </w:tc>
      </w:tr>
      <w:tr>
        <w:trPr>
          <w:cantSplit/>
        </w:trPr>
        <w:tc>
          <w:tcPr>
            <w:tcW w:type="dxa" w:w="2088"/>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Hajj details</w:t>
            </w:r>
          </w:p>
        </w:tc>
        <w:tc>
          <w:tcPr>
            <w:tcW w:type="dxa" w:w="7416"/>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Main observances and their significance</w:t>
            </w:r>
          </w:p>
        </w:tc>
      </w:tr>
      <w:tr>
        <w:trPr>
          <w:cantSplit/>
        </w:trPr>
        <w:tc>
          <w:tcPr>
            <w:tcW w:type="dxa" w:w="2088"/>
            <w:vAlign w:val="center"/>
            <w:tcMar>
              <w:top w:w="90" w:type="dxa"/>
              <w:start w:w="110" w:type="dxa"/>
              <w:bottom w:w="90" w:type="dxa"/>
              <w:end w:w="110" w:type="dxa"/>
            </w:tcMar>
          </w:tcPr>
          <w:p>
            <w:pPr>
              <w:spacing w:after="0" w:line="240" w:lineRule="auto"/>
            </w:pPr>
            <w:r/>
            <w:r>
              <w:rPr>
                <w:rFonts w:ascii="Aptos" w:hAnsi="Aptos"/>
                <w:b w:val="0"/>
                <w:color w:val="263442"/>
                <w:sz w:val="16"/>
              </w:rPr>
              <w:t>Required understanding</w:t>
            </w:r>
          </w:p>
        </w:tc>
        <w:tc>
          <w:tcPr>
            <w:tcW w:type="dxa" w:w="7416"/>
            <w:vAlign w:val="center"/>
            <w:tcMar>
              <w:top w:w="90" w:type="dxa"/>
              <w:start w:w="110" w:type="dxa"/>
              <w:bottom w:w="90" w:type="dxa"/>
              <w:end w:w="110" w:type="dxa"/>
            </w:tcMar>
          </w:tcPr>
          <w:p>
            <w:pPr>
              <w:spacing w:after="0" w:line="240" w:lineRule="auto"/>
            </w:pPr>
            <w:r/>
            <w:r>
              <w:rPr>
                <w:rFonts w:ascii="Aptos" w:hAnsi="Aptos"/>
                <w:b w:val="0"/>
                <w:color w:val="263442"/>
                <w:sz w:val="16"/>
              </w:rPr>
              <w:t>Meaning and importance for individual Muslims and Muslim communities</w:t>
            </w:r>
          </w:p>
        </w:tc>
      </w:tr>
    </w:tbl>
    <w:p>
      <w:pPr>
        <w:spacing w:after="40"/>
      </w:pPr>
    </w:p>
    <w:p>
      <w:r>
        <w:br w:type="page"/>
      </w:r>
    </w:p>
    <w:p>
      <w:pPr>
        <w:pStyle w:val="Heading1"/>
      </w:pPr>
      <w:r>
        <w:t>8. Prescribed Qur’an Passages</w:t>
      </w:r>
    </w:p>
    <w:p>
      <w:r>
        <w:t>Use these as the canonical passage records for the website. The syllabus prescribes 15 passages in three thematic groups.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57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No.</w:t>
            </w:r>
          </w:p>
        </w:tc>
        <w:tc>
          <w:tcPr>
            <w:tcW w:type="dxa" w:w="194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Group</w:t>
            </w:r>
          </w:p>
        </w:tc>
        <w:tc>
          <w:tcPr>
            <w:tcW w:type="dxa" w:w="129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Passage</w:t>
            </w:r>
          </w:p>
        </w:tc>
        <w:tc>
          <w:tcPr>
            <w:tcW w:type="dxa" w:w="568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Website study label</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1</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 in Himself</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2:255</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Ayat al-Kursi: divine life, knowledge, sovereignty and power</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2</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 in Himself</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6:101-103</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 as unique Creator, beyond physical perception, fully knowing</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3</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 in Himself</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41:37</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Created signs and worship of the Creator alone</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4</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 in Himself</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42:4-5</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Divine ownership, greatness, angelic praise and forgiveness</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5</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 in Himself</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112</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Absolute oneness and incomparability of Allah</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6</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Created world</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Praise, mercy, judgement, worship and guidance</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7</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Created world</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2:21-22</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Creation, provision and exclusive worship</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8</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Created world</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96:1-5</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Creation, revelation, knowledge and learning</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9</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Created world</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99</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Resurrection, accountability and recompense</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10</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Created world</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114</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Seeking Allah’s protection from hidden evil</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11</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Allah’s Messengers</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2:30-37</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Adam, knowledge, human vicegerency, temptation and repentance</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12</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Allah’s Messengers</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6:75-79</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Ibrahim’s rejection of created objects as divine</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13</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Allah’s Messengers</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5:110</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Allah’s favours and miracles granted to ‘Isa</w:t>
            </w:r>
          </w:p>
        </w:tc>
      </w:tr>
      <w:tr>
        <w:trPr>
          <w:cantSplit/>
        </w:trPr>
        <w:tc>
          <w:tcPr>
            <w:tcW w:type="dxa" w:w="57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14</w:t>
            </w:r>
          </w:p>
        </w:tc>
        <w:tc>
          <w:tcPr>
            <w:tcW w:type="dxa" w:w="194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Allah’s Messengers</w:t>
            </w:r>
          </w:p>
        </w:tc>
        <w:tc>
          <w:tcPr>
            <w:tcW w:type="dxa" w:w="1296"/>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93</w:t>
            </w:r>
          </w:p>
        </w:tc>
        <w:tc>
          <w:tcPr>
            <w:tcW w:type="dxa" w:w="568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Divine care for the Prophet and duties to the vulnerable</w:t>
            </w:r>
          </w:p>
        </w:tc>
      </w:tr>
      <w:tr>
        <w:trPr>
          <w:cantSplit/>
        </w:trPr>
        <w:tc>
          <w:tcPr>
            <w:tcW w:type="dxa" w:w="576"/>
            <w:vAlign w:val="center"/>
            <w:tcMar>
              <w:top w:w="90" w:type="dxa"/>
              <w:start w:w="110" w:type="dxa"/>
              <w:bottom w:w="90" w:type="dxa"/>
              <w:end w:w="110" w:type="dxa"/>
            </w:tcMar>
          </w:tcPr>
          <w:p>
            <w:pPr>
              <w:spacing w:after="0" w:line="240" w:lineRule="auto"/>
            </w:pPr>
            <w:r/>
            <w:r>
              <w:rPr>
                <w:rFonts w:ascii="Aptos" w:hAnsi="Aptos"/>
                <w:b w:val="0"/>
                <w:color w:val="263442"/>
                <w:sz w:val="15"/>
              </w:rPr>
              <w:t>15</w:t>
            </w:r>
          </w:p>
        </w:tc>
        <w:tc>
          <w:tcPr>
            <w:tcW w:type="dxa" w:w="1944"/>
            <w:vAlign w:val="center"/>
            <w:tcMar>
              <w:top w:w="90" w:type="dxa"/>
              <w:start w:w="110" w:type="dxa"/>
              <w:bottom w:w="90" w:type="dxa"/>
              <w:end w:w="110" w:type="dxa"/>
            </w:tcMar>
          </w:tcPr>
          <w:p>
            <w:pPr>
              <w:spacing w:after="0" w:line="240" w:lineRule="auto"/>
            </w:pPr>
            <w:r/>
            <w:r>
              <w:rPr>
                <w:rFonts w:ascii="Aptos" w:hAnsi="Aptos"/>
                <w:b w:val="0"/>
                <w:color w:val="263442"/>
                <w:sz w:val="15"/>
              </w:rPr>
              <w:t>Allah’s Messengers</w:t>
            </w:r>
          </w:p>
        </w:tc>
        <w:tc>
          <w:tcPr>
            <w:tcW w:type="dxa" w:w="1296"/>
            <w:vAlign w:val="center"/>
            <w:tcMar>
              <w:top w:w="90" w:type="dxa"/>
              <w:start w:w="110" w:type="dxa"/>
              <w:bottom w:w="90" w:type="dxa"/>
              <w:end w:w="110" w:type="dxa"/>
            </w:tcMar>
          </w:tcPr>
          <w:p>
            <w:pPr>
              <w:spacing w:after="0" w:line="240" w:lineRule="auto"/>
            </w:pPr>
            <w:r/>
            <w:r>
              <w:rPr>
                <w:rFonts w:ascii="Aptos" w:hAnsi="Aptos"/>
                <w:b w:val="0"/>
                <w:color w:val="263442"/>
                <w:sz w:val="15"/>
              </w:rPr>
              <w:t>108</w:t>
            </w:r>
          </w:p>
        </w:tc>
        <w:tc>
          <w:tcPr>
            <w:tcW w:type="dxa" w:w="5688"/>
            <w:vAlign w:val="center"/>
            <w:tcMar>
              <w:top w:w="90" w:type="dxa"/>
              <w:start w:w="110" w:type="dxa"/>
              <w:bottom w:w="90" w:type="dxa"/>
              <w:end w:w="110" w:type="dxa"/>
            </w:tcMar>
          </w:tcPr>
          <w:p>
            <w:pPr>
              <w:spacing w:after="0" w:line="240" w:lineRule="auto"/>
            </w:pPr>
            <w:r/>
            <w:r>
              <w:rPr>
                <w:rFonts w:ascii="Aptos" w:hAnsi="Aptos"/>
                <w:b w:val="0"/>
                <w:color w:val="263442"/>
                <w:sz w:val="15"/>
              </w:rPr>
              <w:t>Divine abundance, worship and the defeat of hostility</w:t>
            </w:r>
          </w:p>
        </w:tc>
      </w:tr>
    </w:tbl>
    <w:p>
      <w:pPr>
        <w:spacing w:after="40"/>
      </w:pP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Suggested data fields per passage</w:t>
            </w:r>
          </w:p>
          <w:p>
            <w:pPr>
              <w:spacing w:after="0"/>
            </w:pPr>
            <w:r>
              <w:t>id, sequence, surah_number, ayah_range, group, Arabic text, approved English translation, major themes, significance for Muslims today, key vocabulary, related questions, and source note.</w:t>
            </w:r>
          </w:p>
        </w:tc>
      </w:tr>
    </w:tbl>
    <w:p>
      <w:pPr>
        <w:spacing w:after="20"/>
      </w:pPr>
    </w:p>
    <w:p>
      <w:pPr>
        <w:pStyle w:val="Heading1"/>
      </w:pPr>
      <w:r>
        <w:t>9. Prescribed Hadiths</w:t>
      </w:r>
    </w:p>
    <w:p>
      <w:r>
        <w:t>The official appendix contains 20 Hadiths, all recorded by al-Bukhari or Muslim in their Sahih collections, with many recorded by both. The labels below are concise website descriptors, not substitutes for the official Arabic and English texts.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64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No.</w:t>
            </w:r>
          </w:p>
        </w:tc>
        <w:tc>
          <w:tcPr>
            <w:tcW w:type="dxa" w:w="547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Website title</w:t>
            </w:r>
          </w:p>
        </w:tc>
        <w:tc>
          <w:tcPr>
            <w:tcW w:type="dxa" w:w="338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Primary study theme</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Religion is sincerity</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Faith, counsel and responsibility</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2</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Want for one’s brother what one wants for oneself</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Empathy and complete faith</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3</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Speak good or remain silent; honour neighbour and guest</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Speech and social conduct</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4</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Obligatory worship and lawful/unlawful boundaries</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Core obedience</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5</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Daily charity through justice, help, good words and removing harm</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Everyday service</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6</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Changing evil by hand, tongue or heart</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Moral responsibility</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7</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The excellent believer strives with person and property</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Sacrifice and commitment</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8</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Expanded meanings of martyrdom</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Service, suffering and reward</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9</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Best food is earned by one’s own work</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Honest labour</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10</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Serving widows and the poor</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Social welfare</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11</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Caring for an orphan</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Compassion and reward</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12</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Be gentle, give glad tidings and do not alienate</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Leadership and da‘wah</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13</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The Qur’an and tethered camels</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Revision and retention</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14</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Kindness in buying, selling and claiming dues</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Business ethics</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15</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Allah’s mercy and mercy to people</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Compassion</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16</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Believers are like one person</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Solidarity</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17</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Modesty produces good</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Character</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18</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Faith, pride, Paradise and Hell</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Humility and inner state</w:t>
            </w:r>
          </w:p>
        </w:tc>
      </w:tr>
      <w:tr>
        <w:trPr>
          <w:cantSplit/>
        </w:trPr>
        <w:tc>
          <w:tcPr>
            <w:tcW w:type="dxa" w:w="648"/>
            <w:vAlign w:val="center"/>
            <w:tcMar>
              <w:top w:w="90" w:type="dxa"/>
              <w:start w:w="110" w:type="dxa"/>
              <w:bottom w:w="90" w:type="dxa"/>
              <w:end w:w="110" w:type="dxa"/>
            </w:tcMar>
          </w:tcPr>
          <w:p>
            <w:pPr>
              <w:spacing w:after="0" w:line="240" w:lineRule="auto"/>
            </w:pPr>
            <w:r/>
            <w:r>
              <w:rPr>
                <w:rFonts w:ascii="Aptos" w:hAnsi="Aptos"/>
                <w:b w:val="0"/>
                <w:color w:val="263442"/>
                <w:sz w:val="15"/>
              </w:rPr>
              <w:t>19</w:t>
            </w:r>
          </w:p>
        </w:tc>
        <w:tc>
          <w:tcPr>
            <w:tcW w:type="dxa" w:w="5472"/>
            <w:vAlign w:val="center"/>
            <w:tcMar>
              <w:top w:w="90" w:type="dxa"/>
              <w:start w:w="110" w:type="dxa"/>
              <w:bottom w:w="90" w:type="dxa"/>
              <w:end w:w="110" w:type="dxa"/>
            </w:tcMar>
          </w:tcPr>
          <w:p>
            <w:pPr>
              <w:spacing w:after="0" w:line="240" w:lineRule="auto"/>
            </w:pPr>
            <w:r/>
            <w:r>
              <w:rPr>
                <w:rFonts w:ascii="Aptos" w:hAnsi="Aptos"/>
                <w:b w:val="0"/>
                <w:color w:val="263442"/>
                <w:sz w:val="15"/>
              </w:rPr>
              <w:t>The world as prison for the believer</w:t>
            </w:r>
          </w:p>
        </w:tc>
        <w:tc>
          <w:tcPr>
            <w:tcW w:type="dxa" w:w="3384"/>
            <w:vAlign w:val="center"/>
            <w:tcMar>
              <w:top w:w="90" w:type="dxa"/>
              <w:start w:w="110" w:type="dxa"/>
              <w:bottom w:w="90" w:type="dxa"/>
              <w:end w:w="110" w:type="dxa"/>
            </w:tcMar>
          </w:tcPr>
          <w:p>
            <w:pPr>
              <w:spacing w:after="0" w:line="240" w:lineRule="auto"/>
            </w:pPr>
            <w:r/>
            <w:r>
              <w:rPr>
                <w:rFonts w:ascii="Aptos" w:hAnsi="Aptos"/>
                <w:b w:val="0"/>
                <w:color w:val="263442"/>
                <w:sz w:val="15"/>
              </w:rPr>
              <w:t>Self-restraint and perspective</w:t>
            </w:r>
          </w:p>
        </w:tc>
      </w:tr>
      <w:tr>
        <w:trPr>
          <w:cantSplit/>
        </w:trPr>
        <w:tc>
          <w:tcPr>
            <w:tcW w:type="dxa" w:w="64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20</w:t>
            </w:r>
          </w:p>
        </w:tc>
        <w:tc>
          <w:tcPr>
            <w:tcW w:type="dxa" w:w="54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Allah looks at hearts and deeds, not forms and possessions</w:t>
            </w:r>
          </w:p>
        </w:tc>
        <w:tc>
          <w:tcPr>
            <w:tcW w:type="dxa" w:w="338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Sincerity and moral worth</w:t>
            </w:r>
          </w:p>
        </w:tc>
      </w:tr>
    </w:tbl>
    <w:p>
      <w:pPr>
        <w:spacing w:after="40"/>
      </w:pP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Suggested data fields per Hadith</w:t>
            </w:r>
          </w:p>
          <w:p>
            <w:pPr>
              <w:spacing w:after="0"/>
            </w:pPr>
            <w:r>
              <w:t>id, sequence, Arabic text, official English wording, collection/source, broad group (individual conduct or community life), teachings, belief implications, action implications, contemporary application, key vocabulary, and related questions.</w:t>
            </w:r>
          </w:p>
        </w:tc>
      </w:tr>
    </w:tbl>
    <w:p>
      <w:pPr>
        <w:spacing w:after="20"/>
      </w:pPr>
    </w:p>
    <w:p>
      <w:r>
        <w:br w:type="page"/>
      </w:r>
    </w:p>
    <w:p>
      <w:pPr>
        <w:pStyle w:val="Heading1"/>
      </w:pPr>
      <w:r>
        <w:t>10. Grade Descriptions</w:t>
      </w:r>
    </w:p>
    <w:p>
      <w:r>
        <w:t>The syllabus provides general descriptions for Grades A, C and F. The following wording is condensed for student-facing website use.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79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Grade</w:t>
            </w:r>
          </w:p>
        </w:tc>
        <w:tc>
          <w:tcPr>
            <w:tcW w:type="dxa" w:w="3096"/>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Knowledge and organisation</w:t>
            </w:r>
          </w:p>
        </w:tc>
        <w:tc>
          <w:tcPr>
            <w:tcW w:type="dxa" w:w="352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Understanding</w:t>
            </w:r>
          </w:p>
        </w:tc>
        <w:tc>
          <w:tcPr>
            <w:tcW w:type="dxa" w:w="252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Evaluation</w:t>
            </w:r>
          </w:p>
        </w:tc>
      </w:tr>
      <w:tr>
        <w:trPr>
          <w:cantSplit/>
        </w:trPr>
        <w:tc>
          <w:tcPr>
            <w:tcW w:type="dxa" w:w="792"/>
            <w:vAlign w:val="center"/>
            <w:tcMar>
              <w:top w:w="90" w:type="dxa"/>
              <w:start w:w="110" w:type="dxa"/>
              <w:bottom w:w="90" w:type="dxa"/>
              <w:end w:w="110" w:type="dxa"/>
            </w:tcMar>
          </w:tcPr>
          <w:p>
            <w:pPr>
              <w:spacing w:after="0" w:line="240" w:lineRule="auto"/>
            </w:pPr>
            <w:r/>
            <w:r>
              <w:rPr>
                <w:rFonts w:ascii="Aptos" w:hAnsi="Aptos"/>
                <w:b w:val="0"/>
                <w:color w:val="263442"/>
                <w:sz w:val="14"/>
              </w:rPr>
              <w:t>A</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4"/>
              </w:rPr>
              <w:t>Detailed, balanced knowledge; selects appropriate information and presents it consistently and effectively.</w:t>
            </w:r>
          </w:p>
        </w:tc>
        <w:tc>
          <w:tcPr>
            <w:tcW w:type="dxa" w:w="3528"/>
            <w:vAlign w:val="center"/>
            <w:tcMar>
              <w:top w:w="90" w:type="dxa"/>
              <w:start w:w="110" w:type="dxa"/>
              <w:bottom w:w="90" w:type="dxa"/>
              <w:end w:w="110" w:type="dxa"/>
            </w:tcMar>
          </w:tcPr>
          <w:p>
            <w:pPr>
              <w:spacing w:after="0" w:line="240" w:lineRule="auto"/>
            </w:pPr>
            <w:r/>
            <w:r>
              <w:rPr>
                <w:rFonts w:ascii="Aptos" w:hAnsi="Aptos"/>
                <w:b w:val="0"/>
                <w:color w:val="263442"/>
                <w:sz w:val="14"/>
              </w:rPr>
              <w:t>Thorough command of religious language, concepts, beliefs, influential people and writings; clearly connects belief and practice.</w:t>
            </w:r>
          </w:p>
        </w:tc>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4"/>
              </w:rPr>
              <w:t>Recognises significance and gives a clear personal view supported by appropriate evidence and argument.</w:t>
            </w:r>
          </w:p>
        </w:tc>
      </w:tr>
      <w:tr>
        <w:trPr>
          <w:cantSplit/>
        </w:trPr>
        <w:tc>
          <w:tcPr>
            <w:tcW w:type="dxa" w:w="792"/>
            <w:vAlign w:val="center"/>
            <w:tcMar>
              <w:top w:w="90" w:type="dxa"/>
              <w:start w:w="110" w:type="dxa"/>
              <w:bottom w:w="90" w:type="dxa"/>
              <w:end w:w="110" w:type="dxa"/>
            </w:tcMar>
            <w:shd w:fill="F4F6F8"/>
          </w:tcPr>
          <w:p>
            <w:pPr>
              <w:spacing w:after="0" w:line="240" w:lineRule="auto"/>
            </w:pPr>
            <w:r/>
            <w:r>
              <w:rPr>
                <w:rFonts w:ascii="Aptos" w:hAnsi="Aptos"/>
                <w:b w:val="0"/>
                <w:color w:val="263442"/>
                <w:sz w:val="14"/>
              </w:rPr>
              <w:t>C</w:t>
            </w:r>
          </w:p>
        </w:tc>
        <w:tc>
          <w:tcPr>
            <w:tcW w:type="dxa" w:w="3096"/>
            <w:vAlign w:val="center"/>
            <w:tcMar>
              <w:top w:w="90" w:type="dxa"/>
              <w:start w:w="110" w:type="dxa"/>
              <w:bottom w:w="90" w:type="dxa"/>
              <w:end w:w="110" w:type="dxa"/>
            </w:tcMar>
            <w:shd w:fill="F4F6F8"/>
          </w:tcPr>
          <w:p>
            <w:pPr>
              <w:spacing w:after="0" w:line="240" w:lineRule="auto"/>
            </w:pPr>
            <w:r/>
            <w:r>
              <w:rPr>
                <w:rFonts w:ascii="Aptos" w:hAnsi="Aptos"/>
                <w:b w:val="0"/>
                <w:color w:val="263442"/>
                <w:sz w:val="14"/>
              </w:rPr>
              <w:t>Wide knowledge; selects appropriate information and shows some organisation.</w:t>
            </w:r>
          </w:p>
        </w:tc>
        <w:tc>
          <w:tcPr>
            <w:tcW w:type="dxa" w:w="3528"/>
            <w:vAlign w:val="center"/>
            <w:tcMar>
              <w:top w:w="90" w:type="dxa"/>
              <w:start w:w="110" w:type="dxa"/>
              <w:bottom w:w="90" w:type="dxa"/>
              <w:end w:w="110" w:type="dxa"/>
            </w:tcMar>
            <w:shd w:fill="F4F6F8"/>
          </w:tcPr>
          <w:p>
            <w:pPr>
              <w:spacing w:after="0" w:line="240" w:lineRule="auto"/>
            </w:pPr>
            <w:r/>
            <w:r>
              <w:rPr>
                <w:rFonts w:ascii="Aptos" w:hAnsi="Aptos"/>
                <w:b w:val="0"/>
                <w:color w:val="263442"/>
                <w:sz w:val="14"/>
              </w:rPr>
              <w:t>Reasonable understanding of language, basic concepts, influences and beliefs; shows links between belief and practice.</w:t>
            </w:r>
          </w:p>
        </w:tc>
        <w:tc>
          <w:tcPr>
            <w:tcW w:type="dxa" w:w="2520"/>
            <w:vAlign w:val="center"/>
            <w:tcMar>
              <w:top w:w="90" w:type="dxa"/>
              <w:start w:w="110" w:type="dxa"/>
              <w:bottom w:w="90" w:type="dxa"/>
              <w:end w:w="110" w:type="dxa"/>
            </w:tcMar>
            <w:shd w:fill="F4F6F8"/>
          </w:tcPr>
          <w:p>
            <w:pPr>
              <w:spacing w:after="0" w:line="240" w:lineRule="auto"/>
            </w:pPr>
            <w:r/>
            <w:r>
              <w:rPr>
                <w:rFonts w:ascii="Aptos" w:hAnsi="Aptos"/>
                <w:b w:val="0"/>
                <w:color w:val="263442"/>
                <w:sz w:val="14"/>
              </w:rPr>
              <w:t>Recognises the significance of an issue and supports a personal view with some evidence and argument.</w:t>
            </w:r>
          </w:p>
        </w:tc>
      </w:tr>
      <w:tr>
        <w:trPr>
          <w:cantSplit/>
        </w:trPr>
        <w:tc>
          <w:tcPr>
            <w:tcW w:type="dxa" w:w="792"/>
            <w:vAlign w:val="center"/>
            <w:tcMar>
              <w:top w:w="90" w:type="dxa"/>
              <w:start w:w="110" w:type="dxa"/>
              <w:bottom w:w="90" w:type="dxa"/>
              <w:end w:w="110" w:type="dxa"/>
            </w:tcMar>
          </w:tcPr>
          <w:p>
            <w:pPr>
              <w:spacing w:after="0" w:line="240" w:lineRule="auto"/>
            </w:pPr>
            <w:r/>
            <w:r>
              <w:rPr>
                <w:rFonts w:ascii="Aptos" w:hAnsi="Aptos"/>
                <w:b w:val="0"/>
                <w:color w:val="263442"/>
                <w:sz w:val="14"/>
              </w:rPr>
              <w:t>F</w:t>
            </w:r>
          </w:p>
        </w:tc>
        <w:tc>
          <w:tcPr>
            <w:tcW w:type="dxa" w:w="3096"/>
            <w:vAlign w:val="center"/>
            <w:tcMar>
              <w:top w:w="90" w:type="dxa"/>
              <w:start w:w="110" w:type="dxa"/>
              <w:bottom w:w="90" w:type="dxa"/>
              <w:end w:w="110" w:type="dxa"/>
            </w:tcMar>
          </w:tcPr>
          <w:p>
            <w:pPr>
              <w:spacing w:after="0" w:line="240" w:lineRule="auto"/>
            </w:pPr>
            <w:r/>
            <w:r>
              <w:rPr>
                <w:rFonts w:ascii="Aptos" w:hAnsi="Aptos"/>
                <w:b w:val="0"/>
                <w:color w:val="263442"/>
                <w:sz w:val="14"/>
              </w:rPr>
              <w:t>Some knowledge; selects some relevant features and attempts organisation.</w:t>
            </w:r>
          </w:p>
        </w:tc>
        <w:tc>
          <w:tcPr>
            <w:tcW w:type="dxa" w:w="3528"/>
            <w:vAlign w:val="center"/>
            <w:tcMar>
              <w:top w:w="90" w:type="dxa"/>
              <w:start w:w="110" w:type="dxa"/>
              <w:bottom w:w="90" w:type="dxa"/>
              <w:end w:w="110" w:type="dxa"/>
            </w:tcMar>
          </w:tcPr>
          <w:p>
            <w:pPr>
              <w:spacing w:after="0" w:line="240" w:lineRule="auto"/>
            </w:pPr>
            <w:r/>
            <w:r>
              <w:rPr>
                <w:rFonts w:ascii="Aptos" w:hAnsi="Aptos"/>
                <w:b w:val="0"/>
                <w:color w:val="263442"/>
                <w:sz w:val="14"/>
              </w:rPr>
              <w:t>Limited understanding of religious language, influences, principal beliefs and their relation to practice.</w:t>
            </w:r>
          </w:p>
        </w:tc>
        <w:tc>
          <w:tcPr>
            <w:tcW w:type="dxa" w:w="2520"/>
            <w:vAlign w:val="center"/>
            <w:tcMar>
              <w:top w:w="90" w:type="dxa"/>
              <w:start w:w="110" w:type="dxa"/>
              <w:bottom w:w="90" w:type="dxa"/>
              <w:end w:w="110" w:type="dxa"/>
            </w:tcMar>
          </w:tcPr>
          <w:p>
            <w:pPr>
              <w:spacing w:after="0" w:line="240" w:lineRule="auto"/>
            </w:pPr>
            <w:r/>
            <w:r>
              <w:rPr>
                <w:rFonts w:ascii="Aptos" w:hAnsi="Aptos"/>
                <w:b w:val="0"/>
                <w:color w:val="263442"/>
                <w:sz w:val="14"/>
              </w:rPr>
              <w:t>Expresses a personal view with limited supporting argument.</w:t>
            </w:r>
          </w:p>
        </w:tc>
      </w:tr>
    </w:tbl>
    <w:p>
      <w:pPr>
        <w:spacing w:after="40"/>
      </w:pPr>
    </w:p>
    <w:p>
      <w:pPr>
        <w:pStyle w:val="Heading1"/>
      </w:pPr>
      <w:r>
        <w:t>11. Exam Administration and Eligibility</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16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Item</w:t>
            </w:r>
          </w:p>
        </w:tc>
        <w:tc>
          <w:tcPr>
            <w:tcW w:type="dxa" w:w="734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Important data</w:t>
            </w:r>
          </w:p>
        </w:tc>
      </w:tr>
      <w:tr>
        <w:trPr>
          <w:cantSplit/>
        </w:trPr>
        <w:tc>
          <w:tcPr>
            <w:tcW w:type="dxa" w:w="2160"/>
            <w:vAlign w:val="center"/>
            <w:tcMar>
              <w:top w:w="90" w:type="dxa"/>
              <w:start w:w="110" w:type="dxa"/>
              <w:bottom w:w="90" w:type="dxa"/>
              <w:end w:w="110" w:type="dxa"/>
            </w:tcMar>
          </w:tcPr>
          <w:p>
            <w:pPr>
              <w:spacing w:after="0" w:line="240" w:lineRule="auto"/>
            </w:pPr>
            <w:r/>
            <w:r>
              <w:rPr>
                <w:rFonts w:ascii="Aptos" w:hAnsi="Aptos"/>
                <w:b w:val="0"/>
                <w:color w:val="263442"/>
                <w:sz w:val="16"/>
              </w:rPr>
              <w:t>Exam series</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June and November</w:t>
            </w:r>
          </w:p>
        </w:tc>
      </w:tr>
      <w:tr>
        <w:trPr>
          <w:cantSplit/>
        </w:trPr>
        <w:tc>
          <w:tcPr>
            <w:tcW w:type="dxa" w:w="21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Administrative zones</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Schools are allocated to one of six zones, each with a specific timetable</w:t>
            </w:r>
          </w:p>
        </w:tc>
      </w:tr>
      <w:tr>
        <w:trPr>
          <w:cantSplit/>
        </w:trPr>
        <w:tc>
          <w:tcPr>
            <w:tcW w:type="dxa" w:w="2160"/>
            <w:vAlign w:val="center"/>
            <w:tcMar>
              <w:top w:w="90" w:type="dxa"/>
              <w:start w:w="110" w:type="dxa"/>
              <w:bottom w:w="90" w:type="dxa"/>
              <w:end w:w="110" w:type="dxa"/>
            </w:tcMar>
          </w:tcPr>
          <w:p>
            <w:pPr>
              <w:spacing w:after="0" w:line="240" w:lineRule="auto"/>
            </w:pPr>
            <w:r/>
            <w:r>
              <w:rPr>
                <w:rFonts w:ascii="Aptos" w:hAnsi="Aptos"/>
                <w:b w:val="0"/>
                <w:color w:val="263442"/>
                <w:sz w:val="16"/>
              </w:rPr>
              <w:t>Zone restriction</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The syllabus is not available in all administrative zones; current availability must be checked on Cambridge’s syllabus page</w:t>
            </w:r>
          </w:p>
        </w:tc>
      </w:tr>
      <w:tr>
        <w:trPr>
          <w:cantSplit/>
        </w:trPr>
        <w:tc>
          <w:tcPr>
            <w:tcW w:type="dxa" w:w="21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Private candidates</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Permitted</w:t>
            </w:r>
          </w:p>
        </w:tc>
      </w:tr>
      <w:tr>
        <w:trPr>
          <w:cantSplit/>
        </w:trPr>
        <w:tc>
          <w:tcPr>
            <w:tcW w:type="dxa" w:w="2160"/>
            <w:vAlign w:val="center"/>
            <w:tcMar>
              <w:top w:w="90" w:type="dxa"/>
              <w:start w:w="110" w:type="dxa"/>
              <w:bottom w:w="90" w:type="dxa"/>
              <w:end w:w="110" w:type="dxa"/>
            </w:tcMar>
          </w:tcPr>
          <w:p>
            <w:pPr>
              <w:spacing w:after="0" w:line="240" w:lineRule="auto"/>
            </w:pPr>
            <w:r/>
            <w:r>
              <w:rPr>
                <w:rFonts w:ascii="Aptos" w:hAnsi="Aptos"/>
                <w:b w:val="0"/>
                <w:color w:val="263442"/>
                <w:sz w:val="16"/>
              </w:rPr>
              <w:t>Language</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Syllabus and assessment materials are available in English only</w:t>
            </w:r>
          </w:p>
        </w:tc>
      </w:tr>
      <w:tr>
        <w:trPr>
          <w:cantSplit/>
        </w:trPr>
        <w:tc>
          <w:tcPr>
            <w:tcW w:type="dxa" w:w="21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Retakes</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Candidates may retake the whole qualification as many times as they wish</w:t>
            </w:r>
          </w:p>
        </w:tc>
      </w:tr>
      <w:tr>
        <w:trPr>
          <w:cantSplit/>
        </w:trPr>
        <w:tc>
          <w:tcPr>
            <w:tcW w:type="dxa" w:w="2160"/>
            <w:vAlign w:val="center"/>
            <w:tcMar>
              <w:top w:w="90" w:type="dxa"/>
              <w:start w:w="110" w:type="dxa"/>
              <w:bottom w:w="90" w:type="dxa"/>
              <w:end w:w="110" w:type="dxa"/>
            </w:tcMar>
          </w:tcPr>
          <w:p>
            <w:pPr>
              <w:spacing w:after="0" w:line="240" w:lineRule="auto"/>
            </w:pPr>
            <w:r/>
            <w:r>
              <w:rPr>
                <w:rFonts w:ascii="Aptos" w:hAnsi="Aptos"/>
                <w:b w:val="0"/>
                <w:color w:val="263442"/>
                <w:sz w:val="16"/>
              </w:rPr>
              <w:t>Grades reported</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A*, A, B, C, D, E, F or G; A* is highest</w:t>
            </w:r>
          </w:p>
        </w:tc>
      </w:tr>
      <w:tr>
        <w:trPr>
          <w:cantSplit/>
        </w:trPr>
        <w:tc>
          <w:tcPr>
            <w:tcW w:type="dxa" w:w="21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Below Grade G</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Reported as Ungraded on the statement of results, not on the certificate</w:t>
            </w:r>
          </w:p>
        </w:tc>
      </w:tr>
      <w:tr>
        <w:trPr>
          <w:cantSplit/>
        </w:trPr>
        <w:tc>
          <w:tcPr>
            <w:tcW w:type="dxa" w:w="2160"/>
            <w:vAlign w:val="center"/>
            <w:tcMar>
              <w:top w:w="90" w:type="dxa"/>
              <w:start w:w="110" w:type="dxa"/>
              <w:bottom w:w="90" w:type="dxa"/>
              <w:end w:w="110" w:type="dxa"/>
            </w:tcMar>
          </w:tcPr>
          <w:p>
            <w:pPr>
              <w:spacing w:after="0" w:line="240" w:lineRule="auto"/>
            </w:pPr>
            <w:r/>
            <w:r>
              <w:rPr>
                <w:rFonts w:ascii="Aptos" w:hAnsi="Aptos"/>
                <w:b w:val="0"/>
                <w:color w:val="263442"/>
                <w:sz w:val="16"/>
              </w:rPr>
              <w:t>Other result codes</w:t>
            </w:r>
          </w:p>
        </w:tc>
        <w:tc>
          <w:tcPr>
            <w:tcW w:type="dxa" w:w="7344"/>
            <w:vAlign w:val="center"/>
            <w:tcMar>
              <w:top w:w="90" w:type="dxa"/>
              <w:start w:w="110" w:type="dxa"/>
              <w:bottom w:w="90" w:type="dxa"/>
              <w:end w:w="110" w:type="dxa"/>
            </w:tcMar>
          </w:tcPr>
          <w:p>
            <w:pPr>
              <w:spacing w:after="0" w:line="240" w:lineRule="auto"/>
            </w:pPr>
            <w:r/>
            <w:r>
              <w:rPr>
                <w:rFonts w:ascii="Aptos" w:hAnsi="Aptos"/>
                <w:b w:val="0"/>
                <w:color w:val="263442"/>
                <w:sz w:val="16"/>
              </w:rPr>
              <w:t>Q (pending) and X (no result) may appear on the statement of results, not the certificate</w:t>
            </w:r>
          </w:p>
        </w:tc>
      </w:tr>
      <w:tr>
        <w:trPr>
          <w:cantSplit/>
        </w:trPr>
        <w:tc>
          <w:tcPr>
            <w:tcW w:type="dxa" w:w="21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Access arrangements</w:t>
            </w:r>
          </w:p>
        </w:tc>
        <w:tc>
          <w:tcPr>
            <w:tcW w:type="dxa" w:w="73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May be available for evidenced barriers related to SEN, disability, illness or injury; arrangements should reflect the candidate’s normal way of working and require Cambridge approval</w:t>
            </w:r>
          </w:p>
        </w:tc>
      </w:tr>
    </w:tbl>
    <w:p>
      <w:pPr>
        <w:spacing w:after="40"/>
      </w:pPr>
    </w:p>
    <w:p>
      <w:pPr>
        <w:pStyle w:val="Heading2"/>
      </w:pPr>
      <w:r>
        <w:t>Syllabus combinations not allowed in the same series</w:t>
      </w:r>
    </w:p>
    <w:p>
      <w:pPr>
        <w:pStyle w:val="ListBullet"/>
        <w:spacing w:after="40"/>
        <w:ind w:left="317" w:hanging="230"/>
      </w:pPr>
      <w:r>
        <w:t>Cambridge O Level Islamic Studies (2068).</w:t>
      </w:r>
    </w:p>
    <w:p>
      <w:pPr>
        <w:pStyle w:val="ListBullet"/>
        <w:spacing w:after="40"/>
        <w:ind w:left="317" w:hanging="230"/>
      </w:pPr>
      <w:r>
        <w:t>Cambridge O Level Islamiyat (2058).</w:t>
      </w:r>
    </w:p>
    <w:p>
      <w:pPr>
        <w:pStyle w:val="ListBullet"/>
        <w:spacing w:after="40"/>
        <w:ind w:left="317" w:hanging="230"/>
      </w:pPr>
      <w:r>
        <w:t>Any syllabus with the same title at the same level.</w:t>
      </w:r>
    </w:p>
    <w:p>
      <w:pPr>
        <w:pStyle w:val="Heading1"/>
      </w:pPr>
      <w:r>
        <w:t>12. Official Resource and Support Links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74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Purpose</w:t>
            </w:r>
          </w:p>
        </w:tc>
        <w:tc>
          <w:tcPr>
            <w:tcW w:type="dxa" w:w="5760"/>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Official URL</w:t>
            </w:r>
          </w:p>
        </w:tc>
      </w:tr>
      <w:tr>
        <w:trPr>
          <w:cantSplit/>
        </w:trPr>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Syllabus page / current availability</w:t>
            </w:r>
          </w:p>
        </w:tc>
        <w:tc>
          <w:tcPr>
            <w:tcW w:type="dxa" w:w="5760"/>
            <w:vAlign w:val="center"/>
            <w:tcMar>
              <w:top w:w="90" w:type="dxa"/>
              <w:start w:w="110" w:type="dxa"/>
              <w:bottom w:w="90" w:type="dxa"/>
              <w:end w:w="110" w:type="dxa"/>
            </w:tcMar>
          </w:tcPr>
          <w:p>
            <w:pPr>
              <w:spacing w:after="0" w:line="240" w:lineRule="auto"/>
            </w:pPr>
            <w:r/>
            <w:r>
              <w:rPr>
                <w:rFonts w:ascii="Aptos" w:hAnsi="Aptos"/>
                <w:b w:val="0"/>
                <w:color w:val="263442"/>
                <w:sz w:val="16"/>
              </w:rPr>
              <w:t>https://www.cambridgeinternational.org/0493</w:t>
            </w:r>
          </w:p>
        </w:tc>
      </w:tr>
      <w:tr>
        <w:trPr>
          <w:cantSplit/>
        </w:trPr>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Cambridge IGCSE information</w:t>
            </w:r>
          </w:p>
        </w:tc>
        <w:tc>
          <w:tcPr>
            <w:tcW w:type="dxa" w:w="57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https://www.cambridgeinternational.org/igcse</w:t>
            </w:r>
          </w:p>
        </w:tc>
      </w:tr>
      <w:tr>
        <w:trPr>
          <w:cantSplit/>
        </w:trPr>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Teacher support hub</w:t>
            </w:r>
          </w:p>
        </w:tc>
        <w:tc>
          <w:tcPr>
            <w:tcW w:type="dxa" w:w="5760"/>
            <w:vAlign w:val="center"/>
            <w:tcMar>
              <w:top w:w="90" w:type="dxa"/>
              <w:start w:w="110" w:type="dxa"/>
              <w:bottom w:w="90" w:type="dxa"/>
              <w:end w:w="110" w:type="dxa"/>
            </w:tcMar>
          </w:tcPr>
          <w:p>
            <w:pPr>
              <w:spacing w:after="0" w:line="240" w:lineRule="auto"/>
            </w:pPr>
            <w:r/>
            <w:r>
              <w:rPr>
                <w:rFonts w:ascii="Aptos" w:hAnsi="Aptos"/>
                <w:b w:val="0"/>
                <w:color w:val="263442"/>
                <w:sz w:val="16"/>
              </w:rPr>
              <w:t>https://www.cambridgeinternational.org/support</w:t>
            </w:r>
          </w:p>
        </w:tc>
      </w:tr>
      <w:tr>
        <w:trPr>
          <w:cantSplit/>
        </w:trPr>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Teacher training and events</w:t>
            </w:r>
          </w:p>
        </w:tc>
        <w:tc>
          <w:tcPr>
            <w:tcW w:type="dxa" w:w="57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https://www.cambridgeinternational.org/events</w:t>
            </w:r>
          </w:p>
        </w:tc>
      </w:tr>
      <w:tr>
        <w:trPr>
          <w:cantSplit/>
        </w:trPr>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Recognition</w:t>
            </w:r>
          </w:p>
        </w:tc>
        <w:tc>
          <w:tcPr>
            <w:tcW w:type="dxa" w:w="5760"/>
            <w:vAlign w:val="center"/>
            <w:tcMar>
              <w:top w:w="90" w:type="dxa"/>
              <w:start w:w="110" w:type="dxa"/>
              <w:bottom w:w="90" w:type="dxa"/>
              <w:end w:w="110" w:type="dxa"/>
            </w:tcMar>
          </w:tcPr>
          <w:p>
            <w:pPr>
              <w:spacing w:after="0" w:line="240" w:lineRule="auto"/>
            </w:pPr>
            <w:r/>
            <w:r>
              <w:rPr>
                <w:rFonts w:ascii="Aptos" w:hAnsi="Aptos"/>
                <w:b w:val="0"/>
                <w:color w:val="263442"/>
                <w:sz w:val="16"/>
              </w:rPr>
              <w:t>https://www.cambridgeinternational.org/recognition</w:t>
            </w:r>
          </w:p>
        </w:tc>
      </w:tr>
      <w:tr>
        <w:trPr>
          <w:cantSplit/>
        </w:trPr>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Administrative zone</w:t>
            </w:r>
          </w:p>
        </w:tc>
        <w:tc>
          <w:tcPr>
            <w:tcW w:type="dxa" w:w="57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https://www.cambridgeinternational.org/adminzone</w:t>
            </w:r>
          </w:p>
        </w:tc>
      </w:tr>
      <w:tr>
        <w:trPr>
          <w:cantSplit/>
        </w:trPr>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Exam timetables</w:t>
            </w:r>
          </w:p>
        </w:tc>
        <w:tc>
          <w:tcPr>
            <w:tcW w:type="dxa" w:w="5760"/>
            <w:vAlign w:val="center"/>
            <w:tcMar>
              <w:top w:w="90" w:type="dxa"/>
              <w:start w:w="110" w:type="dxa"/>
              <w:bottom w:w="90" w:type="dxa"/>
              <w:end w:w="110" w:type="dxa"/>
            </w:tcMar>
          </w:tcPr>
          <w:p>
            <w:pPr>
              <w:spacing w:after="0" w:line="240" w:lineRule="auto"/>
            </w:pPr>
            <w:r/>
            <w:r>
              <w:rPr>
                <w:rFonts w:ascii="Aptos" w:hAnsi="Aptos"/>
                <w:b w:val="0"/>
                <w:color w:val="263442"/>
                <w:sz w:val="16"/>
              </w:rPr>
              <w:t>https://www.cambridgeinternational.org/timetables</w:t>
            </w:r>
          </w:p>
        </w:tc>
      </w:tr>
      <w:tr>
        <w:trPr>
          <w:cantSplit/>
        </w:trPr>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Cambridge Handbook / exams officer guide</w:t>
            </w:r>
          </w:p>
        </w:tc>
        <w:tc>
          <w:tcPr>
            <w:tcW w:type="dxa" w:w="57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https://www.cambridgeinternational.org/eoguide</w:t>
            </w:r>
          </w:p>
        </w:tc>
      </w:tr>
      <w:tr>
        <w:trPr>
          <w:cantSplit/>
        </w:trPr>
        <w:tc>
          <w:tcPr>
            <w:tcW w:type="dxa" w:w="3744"/>
            <w:vAlign w:val="center"/>
            <w:tcMar>
              <w:top w:w="90" w:type="dxa"/>
              <w:start w:w="110" w:type="dxa"/>
              <w:bottom w:w="90" w:type="dxa"/>
              <w:end w:w="110" w:type="dxa"/>
            </w:tcMar>
          </w:tcPr>
          <w:p>
            <w:pPr>
              <w:spacing w:after="0" w:line="240" w:lineRule="auto"/>
            </w:pPr>
            <w:r/>
            <w:r>
              <w:rPr>
                <w:rFonts w:ascii="Aptos" w:hAnsi="Aptos"/>
                <w:b w:val="0"/>
                <w:color w:val="263442"/>
                <w:sz w:val="16"/>
              </w:rPr>
              <w:t>Retakes</w:t>
            </w:r>
          </w:p>
        </w:tc>
        <w:tc>
          <w:tcPr>
            <w:tcW w:type="dxa" w:w="5760"/>
            <w:vAlign w:val="center"/>
            <w:tcMar>
              <w:top w:w="90" w:type="dxa"/>
              <w:start w:w="110" w:type="dxa"/>
              <w:bottom w:w="90" w:type="dxa"/>
              <w:end w:w="110" w:type="dxa"/>
            </w:tcMar>
          </w:tcPr>
          <w:p>
            <w:pPr>
              <w:spacing w:after="0" w:line="240" w:lineRule="auto"/>
            </w:pPr>
            <w:r/>
            <w:r>
              <w:rPr>
                <w:rFonts w:ascii="Aptos" w:hAnsi="Aptos"/>
                <w:b w:val="0"/>
                <w:color w:val="263442"/>
                <w:sz w:val="16"/>
              </w:rPr>
              <w:t>https://www.cambridgeinternational.org/retakes</w:t>
            </w:r>
          </w:p>
        </w:tc>
      </w:tr>
      <w:tr>
        <w:trPr>
          <w:cantSplit/>
        </w:trPr>
        <w:tc>
          <w:tcPr>
            <w:tcW w:type="dxa" w:w="3744"/>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Become a Cambridge school</w:t>
            </w:r>
          </w:p>
        </w:tc>
        <w:tc>
          <w:tcPr>
            <w:tcW w:type="dxa" w:w="5760"/>
            <w:vAlign w:val="center"/>
            <w:tcMar>
              <w:top w:w="90" w:type="dxa"/>
              <w:start w:w="110" w:type="dxa"/>
              <w:bottom w:w="90" w:type="dxa"/>
              <w:end w:w="110" w:type="dxa"/>
            </w:tcMar>
            <w:shd w:fill="F4F6F8"/>
          </w:tcPr>
          <w:p>
            <w:pPr>
              <w:spacing w:after="0" w:line="240" w:lineRule="auto"/>
            </w:pPr>
            <w:r/>
            <w:r>
              <w:rPr>
                <w:rFonts w:ascii="Aptos" w:hAnsi="Aptos"/>
                <w:b w:val="0"/>
                <w:color w:val="263442"/>
                <w:sz w:val="16"/>
              </w:rPr>
              <w:t>https://www.cambridgeinternational.org/join</w:t>
            </w:r>
          </w:p>
        </w:tc>
      </w:tr>
    </w:tbl>
    <w:p>
      <w:pPr>
        <w:spacing w:after="40"/>
      </w:pPr>
    </w:p>
    <w:p>
      <w:r>
        <w:br w:type="page"/>
      </w:r>
    </w:p>
    <w:p>
      <w:pPr>
        <w:pStyle w:val="Heading1"/>
      </w:pPr>
      <w:r>
        <w:t>13. Website Build Notes and Data Quality Flags</w:t>
      </w:r>
    </w:p>
    <w:tbl>
      <w:tblPr>
        <w:tblW w:type="auto" w:w="0"/>
        <w:jc w:val="center"/>
        <w:tblLook w:firstColumn="1" w:firstRow="1" w:lastColumn="0" w:lastRow="0" w:noHBand="0" w:noVBand="1" w:val="04A0"/>
      </w:tblPr>
      <w:tblGrid>
        <w:gridCol w:w="9994"/>
      </w:tblGrid>
      <w:tr>
        <w:trPr>
          <w:cantSplit/>
          <w:tblHeader w:val="true"/>
        </w:trPr>
        <w:tc>
          <w:tcPr>
            <w:tcW w:type="dxa" w:w="9994"/>
            <w:shd w:fill="FCEDED"/>
            <w:tcMar>
              <w:top w:w="125" w:type="dxa"/>
              <w:start w:w="160" w:type="dxa"/>
              <w:bottom w:w="125" w:type="dxa"/>
              <w:end w:w="160" w:type="dxa"/>
            </w:tcMar>
          </w:tcPr>
          <w:p>
            <w:pPr>
              <w:spacing w:after="60"/>
            </w:pPr>
            <w:r>
              <w:rPr>
                <w:b/>
                <w:color w:val="9A3F3F"/>
                <w:sz w:val="19"/>
              </w:rPr>
              <w:t>Important source inconsistency 1</w:t>
            </w:r>
          </w:p>
          <w:p>
            <w:pPr>
              <w:spacing w:after="0"/>
            </w:pPr>
            <w:r>
              <w:t>In sections 5.1 and 5.2, the syllabus text says the Appendix 1 and Appendix 2 passages are for examination in “2022 and 2023”, although the document is explicitly the 2026-2027 syllabus and the appendices are included in it. Treat this as an apparent carry-over wording error. For the website, use the included lists but avoid reproducing the outdated year phrase; verify against the current Cambridge 0493 page before publication.</w:t>
            </w:r>
          </w:p>
        </w:tc>
      </w:tr>
    </w:tbl>
    <w:p>
      <w:pPr>
        <w:spacing w:after="20"/>
      </w:pPr>
    </w:p>
    <w:tbl>
      <w:tblPr>
        <w:tblW w:type="auto" w:w="0"/>
        <w:jc w:val="center"/>
        <w:tblLook w:firstColumn="1" w:firstRow="1" w:lastColumn="0" w:lastRow="0" w:noHBand="0" w:noVBand="1" w:val="04A0"/>
      </w:tblPr>
      <w:tblGrid>
        <w:gridCol w:w="9994"/>
      </w:tblGrid>
      <w:tr>
        <w:trPr>
          <w:cantSplit/>
          <w:tblHeader w:val="true"/>
        </w:trPr>
        <w:tc>
          <w:tcPr>
            <w:tcW w:type="dxa" w:w="9994"/>
            <w:shd w:fill="FCEDED"/>
            <w:tcMar>
              <w:top w:w="125" w:type="dxa"/>
              <w:start w:w="160" w:type="dxa"/>
              <w:bottom w:w="125" w:type="dxa"/>
              <w:end w:w="160" w:type="dxa"/>
            </w:tcMar>
          </w:tcPr>
          <w:p>
            <w:pPr>
              <w:spacing w:after="60"/>
            </w:pPr>
            <w:r>
              <w:rPr>
                <w:b/>
                <w:color w:val="9A3F3F"/>
                <w:sz w:val="19"/>
              </w:rPr>
              <w:t>Important source inconsistency 2</w:t>
            </w:r>
          </w:p>
          <w:p>
            <w:pPr>
              <w:spacing w:after="0"/>
            </w:pPr>
            <w:r>
              <w:t>The assessment-objective-by-component table displays “00” for AO1 and AO2 under both papers. These values are plainly unusable in the supplied PDF. Publish the qualification-level weightings (AO1 68%, AO2 32%) and do not invent component percentages.</w:t>
            </w:r>
          </w:p>
        </w:tc>
      </w:tr>
    </w:tbl>
    <w:p>
      <w:pPr>
        <w:spacing w:after="20"/>
      </w:pPr>
    </w:p>
    <w:tbl>
      <w:tblPr>
        <w:tblW w:type="auto" w:w="0"/>
        <w:jc w:val="center"/>
        <w:tblLook w:firstColumn="1" w:firstRow="1" w:lastColumn="0" w:lastRow="0" w:noHBand="0" w:noVBand="1" w:val="04A0"/>
      </w:tblPr>
      <w:tblGrid>
        <w:gridCol w:w="9994"/>
      </w:tblGrid>
      <w:tr>
        <w:trPr>
          <w:cantSplit/>
          <w:tblHeader w:val="true"/>
        </w:trPr>
        <w:tc>
          <w:tcPr>
            <w:tcW w:type="dxa" w:w="9994"/>
            <w:shd w:fill="EAF2F3"/>
            <w:tcMar>
              <w:top w:w="125" w:type="dxa"/>
              <w:start w:w="160" w:type="dxa"/>
              <w:bottom w:w="125" w:type="dxa"/>
              <w:end w:w="160" w:type="dxa"/>
            </w:tcMar>
          </w:tcPr>
          <w:p>
            <w:pPr>
              <w:spacing w:after="60"/>
            </w:pPr>
            <w:r>
              <w:rPr>
                <w:b/>
                <w:color w:val="197278"/>
                <w:sz w:val="19"/>
              </w:rPr>
              <w:t>Copyright and accuracy</w:t>
            </w:r>
          </w:p>
          <w:p>
            <w:pPr>
              <w:spacing w:after="0"/>
            </w:pPr>
            <w:r>
              <w:t>The website should link to the official syllabus and identify Cambridge as the source. Before publishing full Arabic passages or Cambridge’s English translations, confirm reuse permissions and translation attribution. Safer public pages can use passage references, original educational commentary, and links to the official document.</w:t>
            </w:r>
          </w:p>
        </w:tc>
      </w:tr>
    </w:tbl>
    <w:p>
      <w:pPr>
        <w:spacing w:after="20"/>
      </w:pPr>
    </w:p>
    <w:p>
      <w:pPr>
        <w:pStyle w:val="Heading2"/>
      </w:pPr>
      <w:r>
        <w:t>Recommended content types for the MDX website</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728"/>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Content type</w:t>
            </w:r>
          </w:p>
        </w:tc>
        <w:tc>
          <w:tcPr>
            <w:tcW w:type="dxa" w:w="3672"/>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Suggested file pattern</w:t>
            </w:r>
          </w:p>
        </w:tc>
        <w:tc>
          <w:tcPr>
            <w:tcW w:type="dxa" w:w="4104"/>
            <w:vAlign w:val="center"/>
            <w:tcMar>
              <w:top w:w="90" w:type="dxa"/>
              <w:start w:w="110" w:type="dxa"/>
              <w:bottom w:w="90" w:type="dxa"/>
              <w:end w:w="110" w:type="dxa"/>
            </w:tcMar>
            <w:shd w:fill="19324D"/>
          </w:tcPr>
          <w:p>
            <w:pPr>
              <w:spacing w:after="0" w:line="240" w:lineRule="auto"/>
              <w:jc w:val="center"/>
            </w:pPr>
            <w:r/>
            <w:r>
              <w:rPr>
                <w:rFonts w:ascii="Aptos" w:hAnsi="Aptos"/>
                <w:b/>
                <w:color w:val="FFFFFF"/>
                <w:sz w:val="16"/>
              </w:rPr>
              <w:t>Minimum fields</w:t>
            </w:r>
          </w:p>
        </w:tc>
      </w:tr>
      <w:tr>
        <w:trPr>
          <w:cantSplit/>
        </w:trPr>
        <w:tc>
          <w:tcPr>
            <w:tcW w:type="dxa" w:w="1728"/>
            <w:vAlign w:val="center"/>
            <w:tcMar>
              <w:top w:w="90" w:type="dxa"/>
              <w:start w:w="110" w:type="dxa"/>
              <w:bottom w:w="90" w:type="dxa"/>
              <w:end w:w="110" w:type="dxa"/>
            </w:tcMar>
          </w:tcPr>
          <w:p>
            <w:pPr>
              <w:spacing w:after="0" w:line="240" w:lineRule="auto"/>
            </w:pPr>
            <w:r/>
            <w:r>
              <w:rPr>
                <w:rFonts w:ascii="Aptos" w:hAnsi="Aptos"/>
                <w:b w:val="0"/>
                <w:color w:val="263442"/>
                <w:sz w:val="15"/>
              </w:rPr>
              <w:t>Qualification</w:t>
            </w:r>
          </w:p>
        </w:tc>
        <w:tc>
          <w:tcPr>
            <w:tcW w:type="dxa" w:w="3672"/>
            <w:vAlign w:val="center"/>
            <w:tcMar>
              <w:top w:w="90" w:type="dxa"/>
              <w:start w:w="110" w:type="dxa"/>
              <w:bottom w:w="90" w:type="dxa"/>
              <w:end w:w="110" w:type="dxa"/>
            </w:tcMar>
          </w:tcPr>
          <w:p>
            <w:pPr>
              <w:spacing w:after="0" w:line="240" w:lineRule="auto"/>
            </w:pPr>
            <w:r/>
            <w:r>
              <w:rPr>
                <w:rFonts w:ascii="Aptos" w:hAnsi="Aptos"/>
                <w:b w:val="0"/>
                <w:color w:val="263442"/>
                <w:sz w:val="15"/>
              </w:rPr>
              <w:t>content/syllabus/overview.mdx</w:t>
            </w:r>
          </w:p>
        </w:tc>
        <w:tc>
          <w:tcPr>
            <w:tcW w:type="dxa" w:w="4104"/>
            <w:vAlign w:val="center"/>
            <w:tcMar>
              <w:top w:w="90" w:type="dxa"/>
              <w:start w:w="110" w:type="dxa"/>
              <w:bottom w:w="90" w:type="dxa"/>
              <w:end w:w="110" w:type="dxa"/>
            </w:tcMar>
          </w:tcPr>
          <w:p>
            <w:pPr>
              <w:spacing w:after="0" w:line="240" w:lineRule="auto"/>
            </w:pPr>
            <w:r/>
            <w:r>
              <w:rPr>
                <w:rFonts w:ascii="Aptos" w:hAnsi="Aptos"/>
                <w:b w:val="0"/>
                <w:color w:val="263442"/>
                <w:sz w:val="15"/>
              </w:rPr>
              <w:t>title, code, years, series, language, summary, aims</w:t>
            </w:r>
          </w:p>
        </w:tc>
      </w:tr>
      <w:tr>
        <w:trPr>
          <w:cantSplit/>
        </w:trPr>
        <w:tc>
          <w:tcPr>
            <w:tcW w:type="dxa" w:w="172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Paper</w:t>
            </w:r>
          </w:p>
        </w:tc>
        <w:tc>
          <w:tcPr>
            <w:tcW w:type="dxa" w:w="36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content/syllabus/paper-1.mdx; paper-2.mdx</w:t>
            </w:r>
          </w:p>
        </w:tc>
        <w:tc>
          <w:tcPr>
            <w:tcW w:type="dxa" w:w="410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duration, marks, required questions, topics, exam strategy</w:t>
            </w:r>
          </w:p>
        </w:tc>
      </w:tr>
      <w:tr>
        <w:trPr>
          <w:cantSplit/>
        </w:trPr>
        <w:tc>
          <w:tcPr>
            <w:tcW w:type="dxa" w:w="1728"/>
            <w:vAlign w:val="center"/>
            <w:tcMar>
              <w:top w:w="90" w:type="dxa"/>
              <w:start w:w="110" w:type="dxa"/>
              <w:bottom w:w="90" w:type="dxa"/>
              <w:end w:w="110" w:type="dxa"/>
            </w:tcMar>
          </w:tcPr>
          <w:p>
            <w:pPr>
              <w:spacing w:after="0" w:line="240" w:lineRule="auto"/>
            </w:pPr>
            <w:r/>
            <w:r>
              <w:rPr>
                <w:rFonts w:ascii="Aptos" w:hAnsi="Aptos"/>
                <w:b w:val="0"/>
                <w:color w:val="263442"/>
                <w:sz w:val="15"/>
              </w:rPr>
              <w:t>Topic</w:t>
            </w:r>
          </w:p>
        </w:tc>
        <w:tc>
          <w:tcPr>
            <w:tcW w:type="dxa" w:w="3672"/>
            <w:vAlign w:val="center"/>
            <w:tcMar>
              <w:top w:w="90" w:type="dxa"/>
              <w:start w:w="110" w:type="dxa"/>
              <w:bottom w:w="90" w:type="dxa"/>
              <w:end w:w="110" w:type="dxa"/>
            </w:tcMar>
          </w:tcPr>
          <w:p>
            <w:pPr>
              <w:spacing w:after="0" w:line="240" w:lineRule="auto"/>
            </w:pPr>
            <w:r/>
            <w:r>
              <w:rPr>
                <w:rFonts w:ascii="Aptos" w:hAnsi="Aptos"/>
                <w:b w:val="0"/>
                <w:color w:val="263442"/>
                <w:sz w:val="15"/>
              </w:rPr>
              <w:t>content/topics/[slug].mdx</w:t>
            </w:r>
          </w:p>
        </w:tc>
        <w:tc>
          <w:tcPr>
            <w:tcW w:type="dxa" w:w="4104"/>
            <w:vAlign w:val="center"/>
            <w:tcMar>
              <w:top w:w="90" w:type="dxa"/>
              <w:start w:w="110" w:type="dxa"/>
              <w:bottom w:w="90" w:type="dxa"/>
              <w:end w:w="110" w:type="dxa"/>
            </w:tcMar>
          </w:tcPr>
          <w:p>
            <w:pPr>
              <w:spacing w:after="0" w:line="240" w:lineRule="auto"/>
            </w:pPr>
            <w:r/>
            <w:r>
              <w:rPr>
                <w:rFonts w:ascii="Aptos" w:hAnsi="Aptos"/>
                <w:b w:val="0"/>
                <w:color w:val="263442"/>
                <w:sz w:val="15"/>
              </w:rPr>
              <w:t>paper, order, title, scope, learning outcomes, subtopics</w:t>
            </w:r>
          </w:p>
        </w:tc>
      </w:tr>
      <w:tr>
        <w:trPr>
          <w:cantSplit/>
        </w:trPr>
        <w:tc>
          <w:tcPr>
            <w:tcW w:type="dxa" w:w="172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Qur’an passage</w:t>
            </w:r>
          </w:p>
        </w:tc>
        <w:tc>
          <w:tcPr>
            <w:tcW w:type="dxa" w:w="36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content/quran/[surah-ayah].mdx</w:t>
            </w:r>
          </w:p>
        </w:tc>
        <w:tc>
          <w:tcPr>
            <w:tcW w:type="dxa" w:w="410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group, reference, themes, significance, vocabulary</w:t>
            </w:r>
          </w:p>
        </w:tc>
      </w:tr>
      <w:tr>
        <w:trPr>
          <w:cantSplit/>
        </w:trPr>
        <w:tc>
          <w:tcPr>
            <w:tcW w:type="dxa" w:w="1728"/>
            <w:vAlign w:val="center"/>
            <w:tcMar>
              <w:top w:w="90" w:type="dxa"/>
              <w:start w:w="110" w:type="dxa"/>
              <w:bottom w:w="90" w:type="dxa"/>
              <w:end w:w="110" w:type="dxa"/>
            </w:tcMar>
          </w:tcPr>
          <w:p>
            <w:pPr>
              <w:spacing w:after="0" w:line="240" w:lineRule="auto"/>
            </w:pPr>
            <w:r/>
            <w:r>
              <w:rPr>
                <w:rFonts w:ascii="Aptos" w:hAnsi="Aptos"/>
                <w:b w:val="0"/>
                <w:color w:val="263442"/>
                <w:sz w:val="15"/>
              </w:rPr>
              <w:t>Hadith</w:t>
            </w:r>
          </w:p>
        </w:tc>
        <w:tc>
          <w:tcPr>
            <w:tcW w:type="dxa" w:w="3672"/>
            <w:vAlign w:val="center"/>
            <w:tcMar>
              <w:top w:w="90" w:type="dxa"/>
              <w:start w:w="110" w:type="dxa"/>
              <w:bottom w:w="90" w:type="dxa"/>
              <w:end w:w="110" w:type="dxa"/>
            </w:tcMar>
          </w:tcPr>
          <w:p>
            <w:pPr>
              <w:spacing w:after="0" w:line="240" w:lineRule="auto"/>
            </w:pPr>
            <w:r/>
            <w:r>
              <w:rPr>
                <w:rFonts w:ascii="Aptos" w:hAnsi="Aptos"/>
                <w:b w:val="0"/>
                <w:color w:val="263442"/>
                <w:sz w:val="15"/>
              </w:rPr>
              <w:t>content/hadith/[number].mdx</w:t>
            </w:r>
          </w:p>
        </w:tc>
        <w:tc>
          <w:tcPr>
            <w:tcW w:type="dxa" w:w="4104"/>
            <w:vAlign w:val="center"/>
            <w:tcMar>
              <w:top w:w="90" w:type="dxa"/>
              <w:start w:w="110" w:type="dxa"/>
              <w:bottom w:w="90" w:type="dxa"/>
              <w:end w:w="110" w:type="dxa"/>
            </w:tcMar>
          </w:tcPr>
          <w:p>
            <w:pPr>
              <w:spacing w:after="0" w:line="240" w:lineRule="auto"/>
            </w:pPr>
            <w:r/>
            <w:r>
              <w:rPr>
                <w:rFonts w:ascii="Aptos" w:hAnsi="Aptos"/>
                <w:b w:val="0"/>
                <w:color w:val="263442"/>
                <w:sz w:val="15"/>
              </w:rPr>
              <w:t>title, group, source, teachings, applications</w:t>
            </w:r>
          </w:p>
        </w:tc>
      </w:tr>
      <w:tr>
        <w:trPr>
          <w:cantSplit/>
        </w:trPr>
        <w:tc>
          <w:tcPr>
            <w:tcW w:type="dxa" w:w="1728"/>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Exam guide</w:t>
            </w:r>
          </w:p>
        </w:tc>
        <w:tc>
          <w:tcPr>
            <w:tcW w:type="dxa" w:w="3672"/>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content/guides/[slug].mdx</w:t>
            </w:r>
          </w:p>
        </w:tc>
        <w:tc>
          <w:tcPr>
            <w:tcW w:type="dxa" w:w="4104"/>
            <w:vAlign w:val="center"/>
            <w:tcMar>
              <w:top w:w="90" w:type="dxa"/>
              <w:start w:w="110" w:type="dxa"/>
              <w:bottom w:w="90" w:type="dxa"/>
              <w:end w:w="110" w:type="dxa"/>
            </w:tcMar>
            <w:shd w:fill="F4F6F8"/>
          </w:tcPr>
          <w:p>
            <w:pPr>
              <w:spacing w:after="0" w:line="240" w:lineRule="auto"/>
            </w:pPr>
            <w:r/>
            <w:r>
              <w:rPr>
                <w:rFonts w:ascii="Aptos" w:hAnsi="Aptos"/>
                <w:b w:val="0"/>
                <w:color w:val="263442"/>
                <w:sz w:val="15"/>
              </w:rPr>
              <w:t>AO focus, mark allocation, answer method, examples</w:t>
            </w:r>
          </w:p>
        </w:tc>
      </w:tr>
    </w:tbl>
    <w:p>
      <w:pPr>
        <w:spacing w:after="40"/>
      </w:pPr>
    </w:p>
    <w:p>
      <w:pPr>
        <w:pStyle w:val="Heading2"/>
      </w:pPr>
      <w:r>
        <w:t>Suggested homepage syllabus cards</w:t>
      </w:r>
    </w:p>
    <w:p>
      <w:pPr>
        <w:pStyle w:val="ListBullet"/>
        <w:spacing w:after="40"/>
        <w:ind w:left="317" w:hanging="230"/>
      </w:pPr>
      <w:r>
        <w:t>Paper 1 — Qur’an, the Prophet Muhammad (pbuh), and the First Islamic Community</w:t>
      </w:r>
    </w:p>
    <w:p>
      <w:pPr>
        <w:pStyle w:val="ListBullet"/>
        <w:spacing w:after="40"/>
        <w:ind w:left="317" w:hanging="230"/>
      </w:pPr>
      <w:r>
        <w:t>Paper 2 — Hadith, the Rightly Guided Caliphs, Articles of Faith, and Pillars of Islam</w:t>
      </w:r>
    </w:p>
    <w:p>
      <w:pPr>
        <w:pStyle w:val="ListBullet"/>
        <w:spacing w:after="40"/>
        <w:ind w:left="317" w:hanging="230"/>
      </w:pPr>
      <w:r>
        <w:t>15 Prescribed Qur’an Passages — organised into three major themes</w:t>
      </w:r>
    </w:p>
    <w:p>
      <w:pPr>
        <w:pStyle w:val="ListBullet"/>
        <w:spacing w:after="40"/>
        <w:ind w:left="317" w:hanging="230"/>
      </w:pPr>
      <w:r>
        <w:t>20 Prescribed Hadiths — individual conduct and community life</w:t>
      </w:r>
    </w:p>
    <w:p>
      <w:pPr>
        <w:pStyle w:val="ListBullet"/>
        <w:spacing w:after="40"/>
        <w:ind w:left="317" w:hanging="230"/>
      </w:pPr>
      <w:r>
        <w:t>Exam Skills — AO1 knowledge (68%) and AO2 understanding (32%)</w:t>
      </w:r>
    </w:p>
    <w:p>
      <w:pPr>
        <w:pStyle w:val="Heading1"/>
      </w:pPr>
      <w:r>
        <w:t>14. Final Publication Checklist</w:t>
      </w:r>
    </w:p>
    <w:p>
      <w:pPr>
        <w:pStyle w:val="ListBullet"/>
        <w:spacing w:after="40"/>
        <w:ind w:left="317" w:hanging="230"/>
      </w:pPr>
      <w:r>
        <w:t>Display code 0493 and examination years 2026-2027 prominently.</w:t>
      </w:r>
    </w:p>
    <w:p>
      <w:pPr>
        <w:pStyle w:val="ListBullet"/>
        <w:spacing w:after="40"/>
        <w:ind w:left="317" w:hanging="230"/>
      </w:pPr>
      <w:r>
        <w:t>State that both papers are compulsory and answered in English.</w:t>
      </w:r>
    </w:p>
    <w:p>
      <w:pPr>
        <w:pStyle w:val="ListBullet"/>
        <w:spacing w:after="40"/>
        <w:ind w:left="317" w:hanging="230"/>
      </w:pPr>
      <w:r>
        <w:t>Show 1 hour 30 minutes and 50 marks for each paper.</w:t>
      </w:r>
    </w:p>
    <w:p>
      <w:pPr>
        <w:pStyle w:val="ListBullet"/>
        <w:spacing w:after="40"/>
        <w:ind w:left="317" w:hanging="230"/>
      </w:pPr>
      <w:r>
        <w:t>Explain the answer rule: Questions 1 and 2 plus two others.</w:t>
      </w:r>
    </w:p>
    <w:p>
      <w:pPr>
        <w:pStyle w:val="ListBullet"/>
        <w:spacing w:after="40"/>
        <w:ind w:left="317" w:hanging="230"/>
      </w:pPr>
      <w:r>
        <w:t>Publish all four syllabus areas under each paper.</w:t>
      </w:r>
    </w:p>
    <w:p>
      <w:pPr>
        <w:pStyle w:val="ListBullet"/>
        <w:spacing w:after="40"/>
        <w:ind w:left="317" w:hanging="230"/>
      </w:pPr>
      <w:r>
        <w:t>Keep the 15 Qur’an references in the correct three groups.</w:t>
      </w:r>
    </w:p>
    <w:p>
      <w:pPr>
        <w:pStyle w:val="ListBullet"/>
        <w:spacing w:after="40"/>
        <w:ind w:left="317" w:hanging="230"/>
      </w:pPr>
      <w:r>
        <w:t>Keep the 20 Hadith records in official sequence.</w:t>
      </w:r>
    </w:p>
    <w:p>
      <w:pPr>
        <w:pStyle w:val="ListBullet"/>
        <w:spacing w:after="40"/>
        <w:ind w:left="317" w:hanging="230"/>
      </w:pPr>
      <w:r>
        <w:t>Use AO1 68% and AO2 32%; omit the defective component-level figures.</w:t>
      </w:r>
    </w:p>
    <w:p>
      <w:pPr>
        <w:pStyle w:val="ListBullet"/>
        <w:spacing w:after="40"/>
        <w:ind w:left="317" w:hanging="230"/>
      </w:pPr>
      <w:r>
        <w:t>Add a notice that availability varies by administrative zone.</w:t>
      </w:r>
    </w:p>
    <w:p>
      <w:pPr>
        <w:pStyle w:val="ListBullet"/>
        <w:spacing w:after="40"/>
        <w:ind w:left="317" w:hanging="230"/>
      </w:pPr>
      <w:r>
        <w:t>Link to the current official 0493 page and recheck details before each exam cycle.</w:t>
      </w:r>
    </w:p>
    <w:p>
      <w:pPr>
        <w:pStyle w:val="ListBullet"/>
        <w:spacing w:after="40"/>
        <w:ind w:left="317" w:hanging="230"/>
      </w:pPr>
      <w:r>
        <w:t>Avoid presenting this independent learning website as an official Cambridge website.</w:t>
      </w:r>
    </w:p>
    <w:p>
      <w:pPr>
        <w:pStyle w:val="Heading1"/>
      </w:pPr>
      <w:r>
        <w:t>Source Note</w:t>
      </w:r>
    </w:p>
    <w:p>
      <w:r>
        <w:t>Primary source used: Cambridge IGCSE™ Islamiyat 0493, syllabus for examination in 2026 and 2027, Version 1, published September 2023, Cambridge Assessment International Education. This extraction was prepared for website content planning and should be checked against Cambridge’s live syllabus page for later updates, administrative-zone availability, and permissions.</w:t>
      </w:r>
    </w:p>
    <w:sectPr w:rsidR="00FC693F" w:rsidRPr="0006063C" w:rsidSect="00034616">
      <w:headerReference w:type="default" r:id="rId9"/>
      <w:footerReference w:type="default" r:id="rId10"/>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D"/>
        <w:sz w:val="15"/>
      </w:rPr>
      <w:t xml:space="preserve">Prepared from the official 2026-2027 syllabus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27D"/>
        <w:sz w:val="15"/>
      </w:rPr>
      <w:t>CAMBRIDGE IGCSE ISLAMIYAT 0493  |  WEBSITE CONTENT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4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9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972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9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27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siteLabel">
    <w:name w:val="Website Label"/>
    <w:pPr>
      <w:keepNext/>
      <w:spacing w:after="40"/>
    </w:pPr>
    <w:rPr>
      <w:rFonts w:ascii="Aptos" w:hAnsi="Aptos"/>
      <w:b/>
      <w:color w:val="1972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IGCSE Islamiyat 0493 Website Data 2026-2027</dc:title>
  <dc:subject>Website-ready extraction from the official Cambridge IGCSE Islamiyat syllabus</dc:subject>
  <dc:creator>Prepared for Dr Imran Hayat</dc:creator>
  <cp:keywords/>
  <dc:description>generated by python-docx</dc:description>
  <cp:lastModifiedBy/>
  <cp:revision>1</cp:revision>
  <dcterms:created xsi:type="dcterms:W3CDTF">2013-12-23T23:15:00Z</dcterms:created>
  <dcterms:modified xsi:type="dcterms:W3CDTF">2013-12-23T23:15:00Z</dcterms:modified>
  <cp:category/>
</cp:coreProperties>
</file>