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b/>
          <w:bCs/>
          <w:color w:val="1F3864"/>
          <w:sz w:val="32"/>
          <w:szCs w:val="32"/>
        </w:rPr>
        <w:t xml:space="preserve">Cambridge O Level</w:t>
      </w:r>
    </w:p>
    <w:p>
      <w:pPr>
        <w:spacing w:after="100"/>
        <w:jc w:val="center"/>
      </w:pPr>
      <w:r>
        <w:rPr>
          <w:b/>
          <w:bCs/>
          <w:color w:val="1F3864"/>
          <w:sz w:val="48"/>
          <w:szCs w:val="48"/>
        </w:rPr>
        <w:t xml:space="preserve">Islamiyat (2058)</w:t>
      </w:r>
    </w:p>
    <w:p>
      <w:pPr>
        <w:spacing w:after="400"/>
        <w:jc w:val="center"/>
      </w:pPr>
      <w:r>
        <w:rPr>
          <w:sz w:val="28"/>
          <w:szCs w:val="28"/>
        </w:rPr>
        <w:t xml:space="preserve">June 2023 Examination Series</w:t>
      </w:r>
    </w:p>
    <w:p>
      <w:pPr>
        <w:spacing w:after="3000"/>
        <w:jc w:val="center"/>
      </w:pPr>
      <w:r>
        <w:rPr>
          <w:i/>
          <w:iCs/>
          <w:sz w:val="24"/>
          <w:szCs w:val="24"/>
        </w:rPr>
        <w:t xml:space="preserve">Compiled Document: Grade Thresholds, Principal Examiner Report, and Mark Schemes (Papers 11 &amp; 12)</w:t>
      </w:r>
    </w:p>
    <w:p>
      <w:pPr>
        <w:jc w:val="center"/>
      </w:pPr>
      <w:r>
        <w:rPr>
          <w:color w:val="777777"/>
          <w:sz w:val="20"/>
          <w:szCs w:val="20"/>
        </w:rPr>
        <w:t xml:space="preserve">Source: UCLES / Cambridge Assessment International Education</w:t>
      </w:r>
    </w:p>
    <w:p>
      <w:pPr>
        <w:pageBreakBefore/>
      </w:pPr>
      <w:r>
        <w:br w:type="page"/>
      </w:r>
    </w:p>
    <w:p>
      <w:pPr>
        <w:pStyle w:val="Heading1"/>
        <w:spacing w:after="150" w:before="300"/>
      </w:pPr>
      <w:r>
        <w:t xml:space="preserve">Grade Thresholds — June 2023</w:t>
      </w:r>
    </w:p>
    <w:p>
      <w:pPr>
        <w:spacing w:after="120"/>
      </w:pPr>
      <w:r>
        <w:rPr>
          <w:b w:val="false"/>
          <w:bCs w:val="false"/>
          <w:i w:val="false"/>
          <w:iCs w:val="false"/>
        </w:rPr>
        <w:t xml:space="preserve">Minimum raw mark required for each grade, by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200"/>
      </w:tblGrid>
      <w:tr>
        <w:tc>
          <w:tcPr>
            <w:tcW w:type="dxa" w:w="2200"/>
            <w:shd w:fill="1F3864" w:val="clear"/>
          </w:tcPr>
          <w:p>
            <w:pPr>
              <w:jc w:val="center"/>
            </w:pPr>
            <w:r>
              <w:rPr>
                <w:b/>
                <w:bCs/>
              </w:rPr>
              <w:t xml:space="preserve">Component</w:t>
            </w:r>
          </w:p>
        </w:tc>
        <w:tc>
          <w:tcPr>
            <w:tcW w:type="dxa" w:w="1200"/>
            <w:shd w:fill="1F3864" w:val="clear"/>
          </w:tcPr>
          <w:p>
            <w:pPr>
              <w:jc w:val="center"/>
            </w:pPr>
            <w:r>
              <w:rPr>
                <w:b/>
                <w:bCs/>
              </w:rPr>
              <w:t xml:space="preserve">Max Mark</w:t>
            </w:r>
          </w:p>
        </w:tc>
        <w:tc>
          <w:tcPr>
            <w:tcW w:type="dxa" w:w="1200"/>
            <w:shd w:fill="1F3864" w:val="clear"/>
          </w:tcPr>
          <w:p>
            <w:pPr>
              <w:jc w:val="center"/>
            </w:pPr>
            <w:r>
              <w:rPr>
                <w:b/>
                <w:bCs/>
              </w:rPr>
              <w:t xml:space="preserve">A</w:t>
            </w:r>
          </w:p>
        </w:tc>
        <w:tc>
          <w:tcPr>
            <w:tcW w:type="dxa" w:w="1200"/>
            <w:shd w:fill="1F3864" w:val="clear"/>
          </w:tcPr>
          <w:p>
            <w:pPr>
              <w:jc w:val="center"/>
            </w:pPr>
            <w:r>
              <w:rPr>
                <w:b/>
                <w:bCs/>
              </w:rPr>
              <w:t xml:space="preserve">B</w:t>
            </w:r>
          </w:p>
        </w:tc>
        <w:tc>
          <w:tcPr>
            <w:tcW w:type="dxa" w:w="1200"/>
            <w:shd w:fill="1F3864" w:val="clear"/>
          </w:tcPr>
          <w:p>
            <w:pPr>
              <w:jc w:val="center"/>
            </w:pPr>
            <w:r>
              <w:rPr>
                <w:b/>
                <w:bCs/>
              </w:rPr>
              <w:t xml:space="preserve">C</w:t>
            </w:r>
          </w:p>
        </w:tc>
        <w:tc>
          <w:tcPr>
            <w:tcW w:type="dxa" w:w="1200"/>
            <w:shd w:fill="1F3864" w:val="clear"/>
          </w:tcPr>
          <w:p>
            <w:pPr>
              <w:jc w:val="center"/>
            </w:pPr>
            <w:r>
              <w:rPr>
                <w:b/>
                <w:bCs/>
              </w:rPr>
              <w:t xml:space="preserve">D</w:t>
            </w:r>
          </w:p>
        </w:tc>
        <w:tc>
          <w:tcPr>
            <w:tcW w:type="dxa" w:w="1200"/>
            <w:shd w:fill="1F3864" w:val="clear"/>
          </w:tcPr>
          <w:p>
            <w:pPr>
              <w:jc w:val="center"/>
            </w:pPr>
            <w:r>
              <w:rPr>
                <w:b/>
                <w:bCs/>
              </w:rPr>
              <w:t xml:space="preserve">E</w:t>
            </w:r>
          </w:p>
        </w:tc>
      </w:tr>
      <w:tr>
        <w:tc>
          <w:tcPr>
            <w:tcW w:type="dxa" w:w="2200"/>
          </w:tcPr>
          <w:p>
            <w:pPr>
              <w:jc w:val="center"/>
            </w:pPr>
            <w:r>
              <w:rPr>
                <w:b w:val="false"/>
                <w:bCs w:val="false"/>
              </w:rPr>
              <w:t xml:space="preserve">Component 11</w:t>
            </w:r>
          </w:p>
        </w:tc>
        <w:tc>
          <w:tcPr>
            <w:tcW w:type="dxa" w:w="1200"/>
          </w:tcPr>
          <w:p>
            <w:pPr>
              <w:jc w:val="center"/>
            </w:pPr>
            <w:r>
              <w:rPr>
                <w:b w:val="false"/>
                <w:bCs w:val="false"/>
              </w:rPr>
              <w:t xml:space="preserve">50</w:t>
            </w:r>
          </w:p>
        </w:tc>
        <w:tc>
          <w:tcPr>
            <w:tcW w:type="dxa" w:w="1200"/>
          </w:tcPr>
          <w:p>
            <w:pPr>
              <w:jc w:val="center"/>
            </w:pPr>
            <w:r>
              <w:rPr>
                <w:b w:val="false"/>
                <w:bCs w:val="false"/>
              </w:rPr>
              <w:t xml:space="preserve">30</w:t>
            </w:r>
          </w:p>
        </w:tc>
        <w:tc>
          <w:tcPr>
            <w:tcW w:type="dxa" w:w="1200"/>
          </w:tcPr>
          <w:p>
            <w:pPr>
              <w:jc w:val="center"/>
            </w:pPr>
            <w:r>
              <w:rPr>
                <w:b w:val="false"/>
                <w:bCs w:val="false"/>
              </w:rPr>
              <w:t xml:space="preserve">26</w:t>
            </w:r>
          </w:p>
        </w:tc>
        <w:tc>
          <w:tcPr>
            <w:tcW w:type="dxa" w:w="1200"/>
          </w:tcPr>
          <w:p>
            <w:pPr>
              <w:jc w:val="center"/>
            </w:pPr>
            <w:r>
              <w:rPr>
                <w:b w:val="false"/>
                <w:bCs w:val="false"/>
              </w:rPr>
              <w:t xml:space="preserve">23</w:t>
            </w:r>
          </w:p>
        </w:tc>
        <w:tc>
          <w:tcPr>
            <w:tcW w:type="dxa" w:w="1200"/>
          </w:tcPr>
          <w:p>
            <w:pPr>
              <w:jc w:val="center"/>
            </w:pPr>
            <w:r>
              <w:rPr>
                <w:b w:val="false"/>
                <w:bCs w:val="false"/>
              </w:rPr>
              <w:t xml:space="preserve">20</w:t>
            </w:r>
          </w:p>
        </w:tc>
        <w:tc>
          <w:tcPr>
            <w:tcW w:type="dxa" w:w="1200"/>
          </w:tcPr>
          <w:p>
            <w:pPr>
              <w:jc w:val="center"/>
            </w:pPr>
            <w:r>
              <w:rPr>
                <w:b w:val="false"/>
                <w:bCs w:val="false"/>
              </w:rPr>
              <w:t xml:space="preserve">16</w:t>
            </w:r>
          </w:p>
        </w:tc>
      </w:tr>
      <w:tr>
        <w:tc>
          <w:tcPr>
            <w:tcW w:type="dxa" w:w="2200"/>
          </w:tcPr>
          <w:p>
            <w:pPr>
              <w:jc w:val="center"/>
            </w:pPr>
            <w:r>
              <w:rPr>
                <w:b w:val="false"/>
                <w:bCs w:val="false"/>
              </w:rPr>
              <w:t xml:space="preserve">Component 12</w:t>
            </w:r>
          </w:p>
        </w:tc>
        <w:tc>
          <w:tcPr>
            <w:tcW w:type="dxa" w:w="1200"/>
          </w:tcPr>
          <w:p>
            <w:pPr>
              <w:jc w:val="center"/>
            </w:pPr>
            <w:r>
              <w:rPr>
                <w:b w:val="false"/>
                <w:bCs w:val="false"/>
              </w:rPr>
              <w:t xml:space="preserve">50</w:t>
            </w:r>
          </w:p>
        </w:tc>
        <w:tc>
          <w:tcPr>
            <w:tcW w:type="dxa" w:w="1200"/>
          </w:tcPr>
          <w:p>
            <w:pPr>
              <w:jc w:val="center"/>
            </w:pPr>
            <w:r>
              <w:rPr>
                <w:b w:val="false"/>
                <w:bCs w:val="false"/>
              </w:rPr>
              <w:t xml:space="preserve">31</w:t>
            </w:r>
          </w:p>
        </w:tc>
        <w:tc>
          <w:tcPr>
            <w:tcW w:type="dxa" w:w="1200"/>
          </w:tcPr>
          <w:p>
            <w:pPr>
              <w:jc w:val="center"/>
            </w:pPr>
            <w:r>
              <w:rPr>
                <w:b w:val="false"/>
                <w:bCs w:val="false"/>
              </w:rPr>
              <w:t xml:space="preserve">27</w:t>
            </w:r>
          </w:p>
        </w:tc>
        <w:tc>
          <w:tcPr>
            <w:tcW w:type="dxa" w:w="1200"/>
          </w:tcPr>
          <w:p>
            <w:pPr>
              <w:jc w:val="center"/>
            </w:pPr>
            <w:r>
              <w:rPr>
                <w:b w:val="false"/>
                <w:bCs w:val="false"/>
              </w:rPr>
              <w:t xml:space="preserve">24</w:t>
            </w:r>
          </w:p>
        </w:tc>
        <w:tc>
          <w:tcPr>
            <w:tcW w:type="dxa" w:w="1200"/>
          </w:tcPr>
          <w:p>
            <w:pPr>
              <w:jc w:val="center"/>
            </w:pPr>
            <w:r>
              <w:rPr>
                <w:b w:val="false"/>
                <w:bCs w:val="false"/>
              </w:rPr>
              <w:t xml:space="preserve">20</w:t>
            </w:r>
          </w:p>
        </w:tc>
        <w:tc>
          <w:tcPr>
            <w:tcW w:type="dxa" w:w="1200"/>
          </w:tcPr>
          <w:p>
            <w:pPr>
              <w:jc w:val="center"/>
            </w:pPr>
            <w:r>
              <w:rPr>
                <w:b w:val="false"/>
                <w:bCs w:val="false"/>
              </w:rPr>
              <w:t xml:space="preserve">16</w:t>
            </w:r>
          </w:p>
        </w:tc>
      </w:tr>
      <w:tr>
        <w:tc>
          <w:tcPr>
            <w:tcW w:type="dxa" w:w="2200"/>
          </w:tcPr>
          <w:p>
            <w:pPr>
              <w:jc w:val="center"/>
            </w:pPr>
            <w:r>
              <w:rPr>
                <w:b w:val="false"/>
                <w:bCs w:val="false"/>
              </w:rPr>
              <w:t xml:space="preserve">Component 21</w:t>
            </w:r>
          </w:p>
        </w:tc>
        <w:tc>
          <w:tcPr>
            <w:tcW w:type="dxa" w:w="1200"/>
          </w:tcPr>
          <w:p>
            <w:pPr>
              <w:jc w:val="center"/>
            </w:pPr>
            <w:r>
              <w:rPr>
                <w:b w:val="false"/>
                <w:bCs w:val="false"/>
              </w:rPr>
              <w:t xml:space="preserve">50</w:t>
            </w:r>
          </w:p>
        </w:tc>
        <w:tc>
          <w:tcPr>
            <w:tcW w:type="dxa" w:w="1200"/>
          </w:tcPr>
          <w:p>
            <w:pPr>
              <w:jc w:val="center"/>
            </w:pPr>
            <w:r>
              <w:rPr>
                <w:b w:val="false"/>
                <w:bCs w:val="false"/>
              </w:rPr>
              <w:t xml:space="preserve">29</w:t>
            </w:r>
          </w:p>
        </w:tc>
        <w:tc>
          <w:tcPr>
            <w:tcW w:type="dxa" w:w="1200"/>
          </w:tcPr>
          <w:p>
            <w:pPr>
              <w:jc w:val="center"/>
            </w:pPr>
            <w:r>
              <w:rPr>
                <w:b w:val="false"/>
                <w:bCs w:val="false"/>
              </w:rPr>
              <w:t xml:space="preserve">25</w:t>
            </w:r>
          </w:p>
        </w:tc>
        <w:tc>
          <w:tcPr>
            <w:tcW w:type="dxa" w:w="1200"/>
          </w:tcPr>
          <w:p>
            <w:pPr>
              <w:jc w:val="center"/>
            </w:pPr>
            <w:r>
              <w:rPr>
                <w:b w:val="false"/>
                <w:bCs w:val="false"/>
              </w:rPr>
              <w:t xml:space="preserve">21</w:t>
            </w:r>
          </w:p>
        </w:tc>
        <w:tc>
          <w:tcPr>
            <w:tcW w:type="dxa" w:w="1200"/>
          </w:tcPr>
          <w:p>
            <w:pPr>
              <w:jc w:val="center"/>
            </w:pPr>
            <w:r>
              <w:rPr>
                <w:b w:val="false"/>
                <w:bCs w:val="false"/>
              </w:rPr>
              <w:t xml:space="preserve">17</w:t>
            </w:r>
          </w:p>
        </w:tc>
        <w:tc>
          <w:tcPr>
            <w:tcW w:type="dxa" w:w="1200"/>
          </w:tcPr>
          <w:p>
            <w:pPr>
              <w:jc w:val="center"/>
            </w:pPr>
            <w:r>
              <w:rPr>
                <w:b w:val="false"/>
                <w:bCs w:val="false"/>
              </w:rPr>
              <w:t xml:space="preserve">14</w:t>
            </w:r>
          </w:p>
        </w:tc>
      </w:tr>
      <w:tr>
        <w:tc>
          <w:tcPr>
            <w:tcW w:type="dxa" w:w="2200"/>
          </w:tcPr>
          <w:p>
            <w:pPr>
              <w:jc w:val="center"/>
            </w:pPr>
            <w:r>
              <w:rPr>
                <w:b w:val="false"/>
                <w:bCs w:val="false"/>
              </w:rPr>
              <w:t xml:space="preserve">Component 22</w:t>
            </w:r>
          </w:p>
        </w:tc>
        <w:tc>
          <w:tcPr>
            <w:tcW w:type="dxa" w:w="1200"/>
          </w:tcPr>
          <w:p>
            <w:pPr>
              <w:jc w:val="center"/>
            </w:pPr>
            <w:r>
              <w:rPr>
                <w:b w:val="false"/>
                <w:bCs w:val="false"/>
              </w:rPr>
              <w:t xml:space="preserve">50</w:t>
            </w:r>
          </w:p>
        </w:tc>
        <w:tc>
          <w:tcPr>
            <w:tcW w:type="dxa" w:w="1200"/>
          </w:tcPr>
          <w:p>
            <w:pPr>
              <w:jc w:val="center"/>
            </w:pPr>
            <w:r>
              <w:rPr>
                <w:b w:val="false"/>
                <w:bCs w:val="false"/>
              </w:rPr>
              <w:t xml:space="preserve">30</w:t>
            </w:r>
          </w:p>
        </w:tc>
        <w:tc>
          <w:tcPr>
            <w:tcW w:type="dxa" w:w="1200"/>
          </w:tcPr>
          <w:p>
            <w:pPr>
              <w:jc w:val="center"/>
            </w:pPr>
            <w:r>
              <w:rPr>
                <w:b w:val="false"/>
                <w:bCs w:val="false"/>
              </w:rPr>
              <w:t xml:space="preserve">26</w:t>
            </w:r>
          </w:p>
        </w:tc>
        <w:tc>
          <w:tcPr>
            <w:tcW w:type="dxa" w:w="1200"/>
          </w:tcPr>
          <w:p>
            <w:pPr>
              <w:jc w:val="center"/>
            </w:pPr>
            <w:r>
              <w:rPr>
                <w:b w:val="false"/>
                <w:bCs w:val="false"/>
              </w:rPr>
              <w:t xml:space="preserve">22</w:t>
            </w:r>
          </w:p>
        </w:tc>
        <w:tc>
          <w:tcPr>
            <w:tcW w:type="dxa" w:w="1200"/>
          </w:tcPr>
          <w:p>
            <w:pPr>
              <w:jc w:val="center"/>
            </w:pPr>
            <w:r>
              <w:rPr>
                <w:b w:val="false"/>
                <w:bCs w:val="false"/>
              </w:rPr>
              <w:t xml:space="preserve">18</w:t>
            </w:r>
          </w:p>
        </w:tc>
        <w:tc>
          <w:tcPr>
            <w:tcW w:type="dxa" w:w="1200"/>
          </w:tcPr>
          <w:p>
            <w:pPr>
              <w:jc w:val="center"/>
            </w:pPr>
            <w:r>
              <w:rPr>
                <w:b w:val="false"/>
                <w:bCs w:val="false"/>
              </w:rPr>
              <w:t xml:space="preserve">14</w:t>
            </w:r>
          </w:p>
        </w:tc>
      </w:tr>
    </w:tbl>
    <w:p>
      <w:pPr>
        <w:spacing w:after="200"/>
      </w:pPr>
    </w:p>
    <w:p>
      <w:pPr>
        <w:spacing w:after="120"/>
      </w:pPr>
      <w:r>
        <w:rPr>
          <w:b w:val="false"/>
          <w:bCs w:val="false"/>
          <w:i w:val="false"/>
          <w:iCs w:val="false"/>
        </w:rPr>
        <w:t xml:space="preserve">Grade A* does not exist at the level of an individual component.</w:t>
      </w:r>
    </w:p>
    <w:p>
      <w:pPr>
        <w:spacing w:after="120"/>
      </w:pPr>
      <w:r>
        <w:rPr>
          <w:b w:val="false"/>
          <w:bCs w:val="false"/>
          <w:i w:val="false"/>
          <w:iCs w:val="false"/>
        </w:rPr>
        <w:t xml:space="preserve">Overall thresholds (after weighting, combined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600"/>
        <w:gridCol w:w="900"/>
        <w:gridCol w:w="900"/>
        <w:gridCol w:w="900"/>
        <w:gridCol w:w="900"/>
        <w:gridCol w:w="900"/>
        <w:gridCol w:w="900"/>
      </w:tblGrid>
      <w:tr>
        <w:tc>
          <w:tcPr>
            <w:tcW w:type="dxa" w:w="900"/>
            <w:shd w:fill="1F3864" w:val="clear"/>
          </w:tcPr>
          <w:p>
            <w:pPr>
              <w:jc w:val="center"/>
            </w:pPr>
            <w:r>
              <w:rPr>
                <w:b/>
                <w:bCs/>
              </w:rPr>
              <w:t xml:space="preserve">Option</w:t>
            </w:r>
          </w:p>
        </w:tc>
        <w:tc>
          <w:tcPr>
            <w:tcW w:type="dxa" w:w="900"/>
            <w:shd w:fill="1F3864" w:val="clear"/>
          </w:tcPr>
          <w:p>
            <w:pPr>
              <w:jc w:val="center"/>
            </w:pPr>
            <w:r>
              <w:rPr>
                <w:b/>
                <w:bCs/>
              </w:rPr>
              <w:t xml:space="preserve">Max Mark (weighted)</w:t>
            </w:r>
          </w:p>
        </w:tc>
        <w:tc>
          <w:tcPr>
            <w:tcW w:type="dxa" w:w="1600"/>
            <w:shd w:fill="1F3864" w:val="clear"/>
          </w:tcPr>
          <w:p>
            <w:pPr>
              <w:jc w:val="center"/>
            </w:pPr>
            <w:r>
              <w:rPr>
                <w:b/>
                <w:bCs/>
              </w:rPr>
              <w:t xml:space="preserve">Components</w:t>
            </w:r>
          </w:p>
        </w:tc>
        <w:tc>
          <w:tcPr>
            <w:tcW w:type="dxa" w:w="900"/>
            <w:shd w:fill="1F3864" w:val="clear"/>
          </w:tcPr>
          <w:p>
            <w:pPr>
              <w:jc w:val="center"/>
            </w:pPr>
            <w:r>
              <w:rPr>
                <w:b/>
                <w:bCs/>
              </w:rPr>
              <w:t xml:space="preserve">A*</w:t>
            </w:r>
          </w:p>
        </w:tc>
        <w:tc>
          <w:tcPr>
            <w:tcW w:type="dxa" w:w="900"/>
            <w:shd w:fill="1F3864" w:val="clear"/>
          </w:tcPr>
          <w:p>
            <w:pPr>
              <w:jc w:val="center"/>
            </w:pPr>
            <w:r>
              <w:rPr>
                <w:b/>
                <w:bCs/>
              </w:rPr>
              <w:t xml:space="preserve">A</w:t>
            </w:r>
          </w:p>
        </w:tc>
        <w:tc>
          <w:tcPr>
            <w:tcW w:type="dxa" w:w="900"/>
            <w:shd w:fill="1F3864" w:val="clear"/>
          </w:tcPr>
          <w:p>
            <w:pPr>
              <w:jc w:val="center"/>
            </w:pPr>
            <w:r>
              <w:rPr>
                <w:b/>
                <w:bCs/>
              </w:rPr>
              <w:t xml:space="preserve">B</w:t>
            </w:r>
          </w:p>
        </w:tc>
        <w:tc>
          <w:tcPr>
            <w:tcW w:type="dxa" w:w="900"/>
            <w:shd w:fill="1F3864" w:val="clear"/>
          </w:tcPr>
          <w:p>
            <w:pPr>
              <w:jc w:val="center"/>
            </w:pPr>
            <w:r>
              <w:rPr>
                <w:b/>
                <w:bCs/>
              </w:rPr>
              <w:t xml:space="preserve">C</w:t>
            </w:r>
          </w:p>
        </w:tc>
        <w:tc>
          <w:tcPr>
            <w:tcW w:type="dxa" w:w="900"/>
            <w:shd w:fill="1F3864" w:val="clear"/>
          </w:tcPr>
          <w:p>
            <w:pPr>
              <w:jc w:val="center"/>
            </w:pPr>
            <w:r>
              <w:rPr>
                <w:b/>
                <w:bCs/>
              </w:rPr>
              <w:t xml:space="preserve">D</w:t>
            </w:r>
          </w:p>
        </w:tc>
        <w:tc>
          <w:tcPr>
            <w:tcW w:type="dxa" w:w="900"/>
            <w:shd w:fill="1F3864" w:val="clear"/>
          </w:tcPr>
          <w:p>
            <w:pPr>
              <w:jc w:val="center"/>
            </w:pPr>
            <w:r>
              <w:rPr>
                <w:b/>
                <w:bCs/>
              </w:rPr>
              <w:t xml:space="preserve">E</w:t>
            </w:r>
          </w:p>
        </w:tc>
      </w:tr>
      <w:tr>
        <w:tc>
          <w:tcPr>
            <w:tcW w:type="dxa" w:w="900"/>
          </w:tcPr>
          <w:p>
            <w:pPr>
              <w:jc w:val="center"/>
            </w:pPr>
            <w:r>
              <w:rPr>
                <w:b w:val="false"/>
                <w:bCs w:val="false"/>
              </w:rPr>
              <w:t xml:space="preserve">AX</w:t>
            </w:r>
          </w:p>
        </w:tc>
        <w:tc>
          <w:tcPr>
            <w:tcW w:type="dxa" w:w="900"/>
          </w:tcPr>
          <w:p>
            <w:pPr>
              <w:jc w:val="center"/>
            </w:pPr>
            <w:r>
              <w:rPr>
                <w:b w:val="false"/>
                <w:bCs w:val="false"/>
              </w:rPr>
              <w:t xml:space="preserve">100</w:t>
            </w:r>
          </w:p>
        </w:tc>
        <w:tc>
          <w:tcPr>
            <w:tcW w:type="dxa" w:w="1600"/>
          </w:tcPr>
          <w:p>
            <w:pPr>
              <w:jc w:val="center"/>
            </w:pPr>
            <w:r>
              <w:rPr>
                <w:b w:val="false"/>
                <w:bCs w:val="false"/>
              </w:rPr>
              <w:t xml:space="preserve">11, 21</w:t>
            </w:r>
          </w:p>
        </w:tc>
        <w:tc>
          <w:tcPr>
            <w:tcW w:type="dxa" w:w="900"/>
          </w:tcPr>
          <w:p>
            <w:pPr>
              <w:jc w:val="center"/>
            </w:pPr>
            <w:r>
              <w:rPr>
                <w:b w:val="false"/>
                <w:bCs w:val="false"/>
              </w:rPr>
              <w:t xml:space="preserve">67</w:t>
            </w:r>
          </w:p>
        </w:tc>
        <w:tc>
          <w:tcPr>
            <w:tcW w:type="dxa" w:w="900"/>
          </w:tcPr>
          <w:p>
            <w:pPr>
              <w:jc w:val="center"/>
            </w:pPr>
            <w:r>
              <w:rPr>
                <w:b w:val="false"/>
                <w:bCs w:val="false"/>
              </w:rPr>
              <w:t xml:space="preserve">59</w:t>
            </w:r>
          </w:p>
        </w:tc>
        <w:tc>
          <w:tcPr>
            <w:tcW w:type="dxa" w:w="900"/>
          </w:tcPr>
          <w:p>
            <w:pPr>
              <w:jc w:val="center"/>
            </w:pPr>
            <w:r>
              <w:rPr>
                <w:b w:val="false"/>
                <w:bCs w:val="false"/>
              </w:rPr>
              <w:t xml:space="preserve">51</w:t>
            </w:r>
          </w:p>
        </w:tc>
        <w:tc>
          <w:tcPr>
            <w:tcW w:type="dxa" w:w="900"/>
          </w:tcPr>
          <w:p>
            <w:pPr>
              <w:jc w:val="center"/>
            </w:pPr>
            <w:r>
              <w:rPr>
                <w:b w:val="false"/>
                <w:bCs w:val="false"/>
              </w:rPr>
              <w:t xml:space="preserve">44</w:t>
            </w:r>
          </w:p>
        </w:tc>
        <w:tc>
          <w:tcPr>
            <w:tcW w:type="dxa" w:w="900"/>
          </w:tcPr>
          <w:p>
            <w:pPr>
              <w:jc w:val="center"/>
            </w:pPr>
            <w:r>
              <w:rPr>
                <w:b w:val="false"/>
                <w:bCs w:val="false"/>
              </w:rPr>
              <w:t xml:space="preserve">37</w:t>
            </w:r>
          </w:p>
        </w:tc>
        <w:tc>
          <w:tcPr>
            <w:tcW w:type="dxa" w:w="900"/>
          </w:tcPr>
          <w:p>
            <w:pPr>
              <w:jc w:val="center"/>
            </w:pPr>
            <w:r>
              <w:rPr>
                <w:b w:val="false"/>
                <w:bCs w:val="false"/>
              </w:rPr>
              <w:t xml:space="preserve">30</w:t>
            </w:r>
          </w:p>
        </w:tc>
      </w:tr>
      <w:tr>
        <w:tc>
          <w:tcPr>
            <w:tcW w:type="dxa" w:w="900"/>
          </w:tcPr>
          <w:p>
            <w:pPr>
              <w:jc w:val="center"/>
            </w:pPr>
            <w:r>
              <w:rPr>
                <w:b w:val="false"/>
                <w:bCs w:val="false"/>
              </w:rPr>
              <w:t xml:space="preserve">AY</w:t>
            </w:r>
          </w:p>
        </w:tc>
        <w:tc>
          <w:tcPr>
            <w:tcW w:type="dxa" w:w="900"/>
          </w:tcPr>
          <w:p>
            <w:pPr>
              <w:jc w:val="center"/>
            </w:pPr>
            <w:r>
              <w:rPr>
                <w:b w:val="false"/>
                <w:bCs w:val="false"/>
              </w:rPr>
              <w:t xml:space="preserve">100</w:t>
            </w:r>
          </w:p>
        </w:tc>
        <w:tc>
          <w:tcPr>
            <w:tcW w:type="dxa" w:w="1600"/>
          </w:tcPr>
          <w:p>
            <w:pPr>
              <w:jc w:val="center"/>
            </w:pPr>
            <w:r>
              <w:rPr>
                <w:b w:val="false"/>
                <w:bCs w:val="false"/>
              </w:rPr>
              <w:t xml:space="preserve">12, 22</w:t>
            </w:r>
          </w:p>
        </w:tc>
        <w:tc>
          <w:tcPr>
            <w:tcW w:type="dxa" w:w="900"/>
          </w:tcPr>
          <w:p>
            <w:pPr>
              <w:jc w:val="center"/>
            </w:pPr>
            <w:r>
              <w:rPr>
                <w:b w:val="false"/>
                <w:bCs w:val="false"/>
              </w:rPr>
              <w:t xml:space="preserve">69</w:t>
            </w:r>
          </w:p>
        </w:tc>
        <w:tc>
          <w:tcPr>
            <w:tcW w:type="dxa" w:w="900"/>
          </w:tcPr>
          <w:p>
            <w:pPr>
              <w:jc w:val="center"/>
            </w:pPr>
            <w:r>
              <w:rPr>
                <w:b w:val="false"/>
                <w:bCs w:val="false"/>
              </w:rPr>
              <w:t xml:space="preserve">61</w:t>
            </w:r>
          </w:p>
        </w:tc>
        <w:tc>
          <w:tcPr>
            <w:tcW w:type="dxa" w:w="900"/>
          </w:tcPr>
          <w:p>
            <w:pPr>
              <w:jc w:val="center"/>
            </w:pPr>
            <w:r>
              <w:rPr>
                <w:b w:val="false"/>
                <w:bCs w:val="false"/>
              </w:rPr>
              <w:t xml:space="preserve">53</w:t>
            </w:r>
          </w:p>
        </w:tc>
        <w:tc>
          <w:tcPr>
            <w:tcW w:type="dxa" w:w="900"/>
          </w:tcPr>
          <w:p>
            <w:pPr>
              <w:jc w:val="center"/>
            </w:pPr>
            <w:r>
              <w:rPr>
                <w:b w:val="false"/>
                <w:bCs w:val="false"/>
              </w:rPr>
              <w:t xml:space="preserve">46</w:t>
            </w:r>
          </w:p>
        </w:tc>
        <w:tc>
          <w:tcPr>
            <w:tcW w:type="dxa" w:w="900"/>
          </w:tcPr>
          <w:p>
            <w:pPr>
              <w:jc w:val="center"/>
            </w:pPr>
            <w:r>
              <w:rPr>
                <w:b w:val="false"/>
                <w:bCs w:val="false"/>
              </w:rPr>
              <w:t xml:space="preserve">38</w:t>
            </w:r>
          </w:p>
        </w:tc>
        <w:tc>
          <w:tcPr>
            <w:tcW w:type="dxa" w:w="900"/>
          </w:tcPr>
          <w:p>
            <w:pPr>
              <w:jc w:val="center"/>
            </w:pPr>
            <w:r>
              <w:rPr>
                <w:b w:val="false"/>
                <w:bCs w:val="false"/>
              </w:rPr>
              <w:t xml:space="preserve">30</w:t>
            </w:r>
          </w:p>
        </w:tc>
      </w:tr>
    </w:tbl>
    <w:p>
      <w:pPr>
        <w:pageBreakBefore/>
      </w:pPr>
    </w:p>
    <w:p>
      <w:pPr>
        <w:pStyle w:val="Heading1"/>
        <w:spacing w:after="150" w:before="300"/>
      </w:pPr>
      <w:r>
        <w:t xml:space="preserve">Principal Examiner Report for Teachers</w:t>
      </w:r>
    </w:p>
    <w:p>
      <w:pPr>
        <w:pStyle w:val="Heading2"/>
        <w:spacing w:after="120" w:before="240"/>
      </w:pPr>
      <w:r>
        <w:t xml:space="preserve">Paper 2058/11</w:t>
      </w:r>
    </w:p>
    <w:p>
      <w:pPr>
        <w:pStyle w:val="Heading3"/>
        <w:spacing w:after="100" w:before="200"/>
      </w:pPr>
      <w:r>
        <w:t xml:space="preserve">Key Messages</w:t>
      </w:r>
    </w:p>
    <w:p>
      <w:pPr>
        <w:pStyle w:val="ListParagraph"/>
        <w:numPr>
          <w:ilvl w:val="0"/>
          <w:numId w:val="1"/>
        </w:numPr>
        <w:spacing w:after="60"/>
      </w:pPr>
      <w:r>
        <w:t xml:space="preserve">To score higher marks in part (a) questions, detail and depth is required.</w:t>
      </w:r>
    </w:p>
    <w:p>
      <w:pPr>
        <w:pStyle w:val="ListParagraph"/>
        <w:numPr>
          <w:ilvl w:val="0"/>
          <w:numId w:val="1"/>
        </w:numPr>
        <w:spacing w:after="60"/>
      </w:pPr>
      <w:r>
        <w:t xml:space="preserve">Part (b) answers require candidates to demonstrate their ability to evaluate and elucidate the significance of different aspects of Islamic history and faith.</w:t>
      </w:r>
    </w:p>
    <w:p>
      <w:pPr>
        <w:pStyle w:val="ListParagraph"/>
        <w:numPr>
          <w:ilvl w:val="0"/>
          <w:numId w:val="1"/>
        </w:numPr>
        <w:spacing w:after="60"/>
      </w:pPr>
      <w:r>
        <w:t xml:space="preserve">Ample practice of drawing connections between different historical events and lessons of resilience, perseveration and unwavering faith would prepare candidates for AO2 questions.</w:t>
      </w:r>
    </w:p>
    <w:p>
      <w:pPr>
        <w:pStyle w:val="ListParagraph"/>
        <w:numPr>
          <w:ilvl w:val="0"/>
          <w:numId w:val="1"/>
        </w:numPr>
        <w:spacing w:after="60"/>
      </w:pPr>
      <w:r>
        <w:t xml:space="preserve">Different parts of the questions must be correctly labelled.</w:t>
      </w:r>
    </w:p>
    <w:p>
      <w:pPr>
        <w:pStyle w:val="Heading3"/>
        <w:spacing w:after="100" w:before="200"/>
      </w:pPr>
      <w:r>
        <w:t xml:space="preserve">General Comments</w:t>
      </w:r>
    </w:p>
    <w:p>
      <w:pPr>
        <w:spacing w:after="120"/>
      </w:pPr>
      <w:r>
        <w:rPr>
          <w:b w:val="false"/>
          <w:bCs w:val="false"/>
          <w:i w:val="false"/>
          <w:iCs w:val="false"/>
        </w:rPr>
        <w:t xml:space="preserve">Over time, notable improvement have been seen in the quality of answers presented. A considerable number of candidates are now able to provide highly accurate and in-depth information regarding the historical events discussed in their responses, supported by excerpts from the sources of authority and historical accounts from reliable literature.</w:t>
      </w:r>
    </w:p>
    <w:p>
      <w:pPr>
        <w:spacing w:after="120"/>
      </w:pPr>
      <w:r>
        <w:rPr>
          <w:b w:val="false"/>
          <w:bCs w:val="false"/>
          <w:i w:val="false"/>
          <w:iCs w:val="false"/>
        </w:rPr>
        <w:t xml:space="preserve">Numerous thoughtful and reflective answers were also seen in (b) parts of the questions, displaying clear understanding of questions' specific demands, accompanied by coherent arguments and appropriate examples.</w:t>
      </w:r>
    </w:p>
    <w:p>
      <w:pPr>
        <w:spacing w:after="120"/>
      </w:pPr>
      <w:r>
        <w:rPr>
          <w:b w:val="false"/>
          <w:bCs w:val="false"/>
          <w:i w:val="false"/>
          <w:iCs w:val="false"/>
        </w:rPr>
        <w:t xml:space="preserve">Those who provided a concise summary of the key events in part (a) but a generic comment or suggestion in part (b) obtained low marks.</w:t>
      </w:r>
    </w:p>
    <w:p>
      <w:pPr>
        <w:pStyle w:val="Heading3"/>
        <w:spacing w:after="100" w:before="200"/>
      </w:pPr>
      <w:r>
        <w:t xml:space="preserve">Comments on Specific Questions</w:t>
      </w:r>
    </w:p>
    <w:p>
      <w:pPr>
        <w:spacing w:after="120"/>
      </w:pPr>
      <w:r>
        <w:rPr>
          <w:b/>
          <w:bCs/>
          <w:i w:val="false"/>
          <w:iCs w:val="false"/>
        </w:rPr>
        <w:t xml:space="preserve">Question 1</w:t>
      </w:r>
    </w:p>
    <w:p>
      <w:pPr>
        <w:spacing w:after="120"/>
      </w:pPr>
      <w:r>
        <w:rPr>
          <w:b w:val="false"/>
          <w:bCs w:val="false"/>
          <w:i w:val="false"/>
          <w:iCs w:val="false"/>
        </w:rPr>
        <w:t xml:space="preserve">(a) The candidates had to choose any two passages and write about the themes contained in each of them. Higher scoring answers focused on: God's authority, His high position, and His powers to provide protection against seen and unseen forces in passage (1); God's power of creation, His knowledge, elevated status of humans, granting of knowledge and forgiveness to Adam and through him to his descendants in passage (2); God's support for His chosen people and humiliating punishment of their opponent in passage (3). Some common mistakes observed include mixing the themes with other Suras and passages or providing generic/broad themes or paraphrasing the given translation.</w:t>
      </w:r>
    </w:p>
    <w:p>
      <w:pPr>
        <w:spacing w:after="120"/>
      </w:pPr>
      <w:r>
        <w:rPr>
          <w:b w:val="false"/>
          <w:bCs w:val="false"/>
          <w:i w:val="false"/>
          <w:iCs w:val="false"/>
        </w:rPr>
        <w:t xml:space="preserve">(b) Sura Nas providing shield against magic, instilling confidence in God's power of protection, passage (2) inculcating hope of God's mercy and forgiveness while Sura Kauther inspiring Muslims to maintain trust in God during challenging times, were some of the commendable points explored by those achieving higher marks. Candidates who provided only brief response or explored generic ideas such as having a strong belief in tawhid, or following God's commands without delving into specific themes could only achieve mid-range marks.</w:t>
      </w:r>
    </w:p>
    <w:p>
      <w:pPr>
        <w:spacing w:after="120"/>
      </w:pPr>
      <w:r>
        <w:rPr>
          <w:b/>
          <w:bCs/>
          <w:i w:val="false"/>
          <w:iCs w:val="false"/>
        </w:rPr>
        <w:t xml:space="preserve">Question 2</w:t>
      </w:r>
    </w:p>
    <w:p>
      <w:pPr>
        <w:spacing w:after="120"/>
      </w:pPr>
      <w:r>
        <w:rPr>
          <w:b w:val="false"/>
          <w:bCs w:val="false"/>
          <w:i w:val="false"/>
          <w:iCs w:val="false"/>
        </w:rPr>
        <w:t xml:space="preserve">(a) The question required a description of the main events of the first revelation. Most candidates provided a basic account of the events surrounding the Prophet's visit to Cave Hira, his encounter with Jibril, and the support offered by his wife along with the confirmation provided by Warqa. The best responses delved deeper, providing specific details and quotes/excerpts from reliable historical sources, including quotations from Sura Iqra/Alaq. It was the depth and level of detail that determined the final mark.</w:t>
      </w:r>
    </w:p>
    <w:p>
      <w:pPr>
        <w:spacing w:after="120"/>
      </w:pPr>
      <w:r>
        <w:rPr>
          <w:b w:val="false"/>
          <w:bCs w:val="false"/>
          <w:i w:val="false"/>
          <w:iCs w:val="false"/>
        </w:rPr>
        <w:t xml:space="preserve">(b) The Prophet's (pbuh) inability to read and write, confirming the authenticity of God's message, was the main point discussed by most candidates. More able candidates explored how this demonstrates the approachability of the divine message; some argued the ability to read and write is not a necessary criterion for prophethood. Many responses offered only basic explanation and were awarded mid-range marks.</w:t>
      </w:r>
    </w:p>
    <w:p>
      <w:pPr>
        <w:spacing w:after="120"/>
      </w:pPr>
      <w:r>
        <w:rPr>
          <w:b/>
          <w:bCs/>
          <w:i w:val="false"/>
          <w:iCs w:val="false"/>
        </w:rPr>
        <w:t xml:space="preserve">Question 3</w:t>
      </w:r>
    </w:p>
    <w:p>
      <w:pPr>
        <w:spacing w:after="120"/>
      </w:pPr>
      <w:r>
        <w:rPr>
          <w:b w:val="false"/>
          <w:bCs w:val="false"/>
          <w:i w:val="false"/>
          <w:iCs w:val="false"/>
        </w:rPr>
        <w:t xml:space="preserve">(a) Numerous events were given, with ample detail highlighting the Prophet's qualities of trustworthiness and forgiveness in better responses. Good responses understood what each quality entails and selected exemplifying events. Weaker responses confused these qualities with unrelated attributes such as humility, or lacked depth and substance.</w:t>
      </w:r>
    </w:p>
    <w:p>
      <w:pPr>
        <w:spacing w:after="120"/>
      </w:pPr>
      <w:r>
        <w:rPr>
          <w:b w:val="false"/>
          <w:bCs w:val="false"/>
          <w:i w:val="false"/>
          <w:iCs w:val="false"/>
        </w:rPr>
        <w:t xml:space="preserve">(b) A considerable number of candidates responded effectively, offering diverse ideas on establishing trustworthiness in society — fulfilling promises, maintaining confidentiality, and looking after others' belongings — each made specific through individual examples.</w:t>
      </w:r>
    </w:p>
    <w:p>
      <w:pPr>
        <w:spacing w:after="120"/>
      </w:pPr>
      <w:r>
        <w:rPr>
          <w:b/>
          <w:bCs/>
          <w:i w:val="false"/>
          <w:iCs w:val="false"/>
        </w:rPr>
        <w:t xml:space="preserve">Question 4</w:t>
      </w:r>
    </w:p>
    <w:p>
      <w:pPr>
        <w:spacing w:after="120"/>
      </w:pPr>
      <w:r>
        <w:rPr>
          <w:b w:val="false"/>
          <w:bCs w:val="false"/>
          <w:i w:val="false"/>
          <w:iCs w:val="false"/>
        </w:rPr>
        <w:t xml:space="preserve">(a) This was the most popular question, answered exceptionally well. Extensive detail was given on the causes of the battle, preparations of both sides, strategies employed, and events on the battlefield and afterward. Inaccuracies and lack of development were the main causes of lower marks.</w:t>
      </w:r>
    </w:p>
    <w:p>
      <w:pPr>
        <w:spacing w:after="120"/>
      </w:pPr>
      <w:r>
        <w:rPr>
          <w:b w:val="false"/>
          <w:bCs w:val="false"/>
          <w:i w:val="false"/>
          <w:iCs w:val="false"/>
        </w:rPr>
        <w:t xml:space="preserve">(b) Almost every candidate discussed following the Prophet's instructions as the most important lesson. Only a limited number elaborated on why the battle was significant; some repeated part (a) content rather than expanding on significance or applying lessons to modern life. Few explored ideas such as determination and steadfastness.</w:t>
      </w:r>
    </w:p>
    <w:p>
      <w:pPr>
        <w:spacing w:after="120"/>
      </w:pPr>
      <w:r>
        <w:rPr>
          <w:b/>
          <w:bCs/>
          <w:i w:val="false"/>
          <w:iCs w:val="false"/>
        </w:rPr>
        <w:t xml:space="preserve">Question 5</w:t>
      </w:r>
    </w:p>
    <w:p>
      <w:pPr>
        <w:spacing w:after="120"/>
      </w:pPr>
      <w:r>
        <w:rPr>
          <w:b w:val="false"/>
          <w:bCs w:val="false"/>
          <w:i w:val="false"/>
          <w:iCs w:val="false"/>
        </w:rPr>
        <w:t xml:space="preserve">(a) A less popular question. Top responses wrote extensively about Fatima chronologically from Makkah through Madina, including her interactions with her father. As little is known about the other daughters, candidates writing about Ruqayya could discuss her marriage, migration and death, while those choosing Zaynab had somewhat more information.</w:t>
      </w:r>
    </w:p>
    <w:p>
      <w:pPr>
        <w:spacing w:after="120"/>
      </w:pPr>
      <w:r>
        <w:rPr>
          <w:b w:val="false"/>
          <w:bCs w:val="false"/>
          <w:i w:val="false"/>
          <w:iCs w:val="false"/>
        </w:rPr>
        <w:t xml:space="preserve">(b) The best answers drew valuable lessons from how the Prophet (pbuh) treated his daughters and applied them to Muslim life today — emphasising kindness, love, affection, and equal status with sons. Generic suggestions of 'good treatment' attained only satisfactory marks.</w:t>
      </w:r>
    </w:p>
    <w:p>
      <w:pPr>
        <w:pageBreakBefore/>
      </w:pPr>
    </w:p>
    <w:p>
      <w:pPr>
        <w:pStyle w:val="Heading2"/>
        <w:spacing w:after="120" w:before="240"/>
      </w:pPr>
      <w:r>
        <w:t xml:space="preserve">Paper 2058/12</w:t>
      </w:r>
    </w:p>
    <w:p>
      <w:pPr>
        <w:pStyle w:val="Heading3"/>
        <w:spacing w:after="100" w:before="200"/>
      </w:pPr>
      <w:r>
        <w:t xml:space="preserve">Key Messages</w:t>
      </w:r>
    </w:p>
    <w:p>
      <w:pPr>
        <w:pStyle w:val="ListParagraph"/>
        <w:numPr>
          <w:ilvl w:val="0"/>
          <w:numId w:val="1"/>
        </w:numPr>
        <w:spacing w:after="60"/>
      </w:pPr>
      <w:r>
        <w:t xml:space="preserve">To score higher marks in part (a) questions, detail and depth is required.</w:t>
      </w:r>
    </w:p>
    <w:p>
      <w:pPr>
        <w:pStyle w:val="ListParagraph"/>
        <w:numPr>
          <w:ilvl w:val="0"/>
          <w:numId w:val="1"/>
        </w:numPr>
        <w:spacing w:after="60"/>
      </w:pPr>
      <w:r>
        <w:t xml:space="preserve">Part (b) answers require candidates to demonstrate their ability to evaluate and elucidate the significance of different aspects of Islamic history and faith.</w:t>
      </w:r>
    </w:p>
    <w:p>
      <w:pPr>
        <w:pStyle w:val="ListParagraph"/>
        <w:numPr>
          <w:ilvl w:val="0"/>
          <w:numId w:val="1"/>
        </w:numPr>
        <w:spacing w:after="60"/>
      </w:pPr>
      <w:r>
        <w:t xml:space="preserve">Ample practice of drawing connections between historical events and lessons of resilience, perseveration and unwavering faith would better prepare candidates for AO2 questions.</w:t>
      </w:r>
    </w:p>
    <w:p>
      <w:pPr>
        <w:pStyle w:val="ListParagraph"/>
        <w:numPr>
          <w:ilvl w:val="0"/>
          <w:numId w:val="1"/>
        </w:numPr>
        <w:spacing w:after="60"/>
      </w:pPr>
      <w:r>
        <w:t xml:space="preserve">Responses must be written in clear and legible handwriting.</w:t>
      </w:r>
    </w:p>
    <w:p>
      <w:pPr>
        <w:pStyle w:val="Heading3"/>
        <w:spacing w:after="100" w:before="200"/>
      </w:pPr>
      <w:r>
        <w:t xml:space="preserve">General Comments</w:t>
      </w:r>
    </w:p>
    <w:p>
      <w:pPr>
        <w:spacing w:after="120"/>
      </w:pPr>
      <w:r>
        <w:rPr>
          <w:b w:val="false"/>
          <w:bCs w:val="false"/>
          <w:i w:val="false"/>
          <w:iCs w:val="false"/>
        </w:rPr>
        <w:t xml:space="preserve">Quality of responses was commendable. Candidates displayed good knowledge of Islamic history and the themes of the passages set in the paper. In (a) parts, depth and quality of information determined marks; in (b) parts, candidates who evaluated and explained significance did well.</w:t>
      </w:r>
    </w:p>
    <w:p>
      <w:pPr>
        <w:spacing w:after="120"/>
      </w:pPr>
      <w:r>
        <w:rPr>
          <w:b w:val="false"/>
          <w:bCs w:val="false"/>
          <w:i w:val="false"/>
          <w:iCs w:val="false"/>
        </w:rPr>
        <w:t xml:space="preserve">Candidates emphasise more on knowledge-based questions and make only generic suggestions for part (b); by expounding more and deriving moral principles from various events, higher marks can be achieved.</w:t>
      </w:r>
    </w:p>
    <w:p>
      <w:pPr>
        <w:pStyle w:val="Heading3"/>
        <w:spacing w:after="100" w:before="200"/>
      </w:pPr>
      <w:r>
        <w:t xml:space="preserve">Comments on Specific Questions</w:t>
      </w:r>
    </w:p>
    <w:p>
      <w:pPr>
        <w:spacing w:after="120"/>
      </w:pPr>
      <w:r>
        <w:rPr>
          <w:b/>
          <w:bCs/>
          <w:i w:val="false"/>
          <w:iCs w:val="false"/>
        </w:rPr>
        <w:t xml:space="preserve">Question 1</w:t>
      </w:r>
    </w:p>
    <w:p>
      <w:pPr>
        <w:spacing w:after="120"/>
      </w:pPr>
      <w:r>
        <w:rPr>
          <w:b w:val="false"/>
          <w:bCs w:val="false"/>
          <w:i w:val="false"/>
          <w:iCs w:val="false"/>
        </w:rPr>
        <w:t xml:space="preserve">(a) Standout responses focused on God's power of creation and celestial bodies as signs of His grandeur in passage (1); God's kingship, ownership and mercy in passage (2); and how God gave guidance to His chosen people, with natural phenomena being a medium rather than possessing power of their own, in passage (3). Elaboration and specific Qur'anic quotes distinguished the best answers. Many candidates offered plain explanation or paraphrased the translation, earning mid-range marks.</w:t>
      </w:r>
    </w:p>
    <w:p>
      <w:pPr>
        <w:spacing w:after="120"/>
      </w:pPr>
      <w:r>
        <w:rPr>
          <w:b w:val="false"/>
          <w:bCs w:val="false"/>
          <w:i w:val="false"/>
          <w:iCs w:val="false"/>
        </w:rPr>
        <w:t xml:space="preserve">(b) Candidates increasingly present the significance of themes in Muslims' lives well. Generic ideas (believing in God, not assigning partners, asking for mercy) were common. More insightful responses explored nature as a means to understand God, the value of contemplation, the necessity of preserving nature, and rejecting all forms of Shirk including modern, less obvious forms — these scored higher.</w:t>
      </w:r>
    </w:p>
    <w:p>
      <w:pPr>
        <w:spacing w:after="120"/>
      </w:pPr>
      <w:r>
        <w:rPr>
          <w:b/>
          <w:bCs/>
          <w:i w:val="false"/>
          <w:iCs w:val="false"/>
        </w:rPr>
        <w:t xml:space="preserve">Question 2</w:t>
      </w:r>
    </w:p>
    <w:p>
      <w:pPr>
        <w:spacing w:after="120"/>
      </w:pPr>
      <w:r>
        <w:rPr>
          <w:b w:val="false"/>
          <w:bCs w:val="false"/>
          <w:i w:val="false"/>
          <w:iCs w:val="false"/>
        </w:rPr>
        <w:t xml:space="preserve">(a) Candidates did well overall, accurately recounting the first revelation and expanding on timing/occasions of subsequent revelations. Higher marks required describing different modes of revelation and the Prophet's bodily sensations, with the strongest candidates quoting authentic Hadith on Companions' observations. Weaker responses spent too long on first-revelation details irrelevant to the question or gave extensive timing details of Suras, omitting or shortchanging modes of revelation.</w:t>
      </w:r>
    </w:p>
    <w:p>
      <w:pPr>
        <w:spacing w:after="120"/>
      </w:pPr>
      <w:r>
        <w:rPr>
          <w:b w:val="false"/>
          <w:bCs w:val="false"/>
          <w:i w:val="false"/>
          <w:iCs w:val="false"/>
        </w:rPr>
        <w:t xml:space="preserve">(b) Many thoughtful answers addressed the significance of gradual revelation: guidance tailored to the community's needs, alleviating the Prophet's physical hardship, preservation/recording of the Quran, and ease of gradual implementation. Elaboration and exemplification distinguished the best answers; single justifications without elaboration scored mid-range.</w:t>
      </w:r>
    </w:p>
    <w:p>
      <w:pPr>
        <w:spacing w:after="120"/>
      </w:pPr>
      <w:r>
        <w:rPr>
          <w:b/>
          <w:bCs/>
          <w:i w:val="false"/>
          <w:iCs w:val="false"/>
        </w:rPr>
        <w:t xml:space="preserve">Question 3</w:t>
      </w:r>
    </w:p>
    <w:p>
      <w:pPr>
        <w:spacing w:after="120"/>
      </w:pPr>
      <w:r>
        <w:rPr>
          <w:b w:val="false"/>
          <w:bCs w:val="false"/>
          <w:i w:val="false"/>
          <w:iCs w:val="false"/>
        </w:rPr>
        <w:t xml:space="preserve">(a) Candidates needed to identify multiple events from the Makkan life of the Prophet (pbuh) and show patience and self-restraint. Top marks went to those selecting a wide range of events with deep detail and clear identification of exemplary character. Many made selective choices or missed highlighting the relevant qualities, scoring mid-range or lower.</w:t>
      </w:r>
    </w:p>
    <w:p>
      <w:pPr>
        <w:spacing w:after="120"/>
      </w:pPr>
      <w:r>
        <w:rPr>
          <w:b w:val="false"/>
          <w:bCs w:val="false"/>
          <w:i w:val="false"/>
          <w:iCs w:val="false"/>
        </w:rPr>
        <w:t xml:space="preserve">(b) Candidates illustrated how Muslims can show patience and self-restraint today; those relating lessons to contemporary issues and drawing meaningful parallels scored higher, while generic suggestions about patience during hardship achieved only mid-range marks.</w:t>
      </w:r>
    </w:p>
    <w:p>
      <w:pPr>
        <w:spacing w:after="120"/>
      </w:pPr>
      <w:r>
        <w:rPr>
          <w:b/>
          <w:bCs/>
          <w:i w:val="false"/>
          <w:iCs w:val="false"/>
        </w:rPr>
        <w:t xml:space="preserve">Question 4</w:t>
      </w:r>
    </w:p>
    <w:p>
      <w:pPr>
        <w:spacing w:after="120"/>
      </w:pPr>
      <w:r>
        <w:rPr>
          <w:b w:val="false"/>
          <w:bCs w:val="false"/>
          <w:i w:val="false"/>
          <w:iCs w:val="false"/>
        </w:rPr>
        <w:t xml:space="preserve">(a) A popular question. Most candidates described the background/factors leading to the conquest of Makkah, preparations, infiltration, and peaceful takeover. Minute detail (advancement of contingents, clearing the Ka'ba, general pardon, administrative decisions), supported by historical excerpts, achieved the highest marks; poorly memorised or inaccurate accounts scored lower.</w:t>
      </w:r>
    </w:p>
    <w:p>
      <w:pPr>
        <w:spacing w:after="120"/>
      </w:pPr>
      <w:r>
        <w:rPr>
          <w:b w:val="false"/>
          <w:bCs w:val="false"/>
          <w:i w:val="false"/>
          <w:iCs w:val="false"/>
        </w:rPr>
        <w:t xml:space="preserve">(b) Candidates demonstrated understanding of the geopolitical implications — extension of Islam, capture of the holiest site, resolution of conflict with the Makkans, and further expansion opportunities. Many only listed 'Makkans accepting Islam' as the outcome, scoring mid-range.</w:t>
      </w:r>
    </w:p>
    <w:p>
      <w:pPr>
        <w:spacing w:after="120"/>
      </w:pPr>
      <w:r>
        <w:rPr>
          <w:b/>
          <w:bCs/>
          <w:i w:val="false"/>
          <w:iCs w:val="false"/>
        </w:rPr>
        <w:t xml:space="preserve">Question 5</w:t>
      </w:r>
    </w:p>
    <w:p>
      <w:pPr>
        <w:spacing w:after="120"/>
      </w:pPr>
      <w:r>
        <w:rPr>
          <w:b w:val="false"/>
          <w:bCs w:val="false"/>
          <w:i w:val="false"/>
          <w:iCs w:val="false"/>
        </w:rPr>
        <w:t xml:space="preserve">(a) Only a limited number attempted this question. Discussion of Amina was brief due to scarce information about her short life; candidates instead focused more on Halima and events from her relationship with the Prophet (pbuh).</w:t>
      </w:r>
    </w:p>
    <w:p>
      <w:pPr>
        <w:spacing w:after="120"/>
      </w:pPr>
      <w:r>
        <w:rPr>
          <w:b w:val="false"/>
          <w:bCs w:val="false"/>
          <w:i w:val="false"/>
          <w:iCs w:val="false"/>
        </w:rPr>
        <w:t xml:space="preserve">(b) Most responses suggested treating orphans with kindness; higher marks required broadening the evaluation to discuss different aspects of the Prophet's upbringing and drawing lessons applicable to modern times.</w:t>
      </w:r>
    </w:p>
    <w:p>
      <w:pPr>
        <w:pageBreakBefore/>
      </w:pPr>
    </w:p>
    <w:p>
      <w:pPr>
        <w:pStyle w:val="Heading2"/>
        <w:spacing w:after="120" w:before="240"/>
      </w:pPr>
      <w:r>
        <w:t xml:space="preserve">Paper 2058/21</w:t>
      </w:r>
    </w:p>
    <w:p>
      <w:pPr>
        <w:pStyle w:val="Heading3"/>
        <w:spacing w:after="100" w:before="200"/>
      </w:pPr>
      <w:r>
        <w:t xml:space="preserve">Key Message</w:t>
      </w:r>
    </w:p>
    <w:p>
      <w:pPr>
        <w:spacing w:after="120"/>
      </w:pPr>
      <w:r>
        <w:rPr>
          <w:b w:val="false"/>
          <w:bCs w:val="false"/>
          <w:i w:val="false"/>
          <w:iCs w:val="false"/>
        </w:rPr>
        <w:t xml:space="preserve">It is important that candidates read the questions carefully and understand what is required in their answer before starting to write their response. At times candidates write an answer they may have prepared for a topic rather than answering what the question asks.</w:t>
      </w:r>
    </w:p>
    <w:p>
      <w:pPr>
        <w:pStyle w:val="Heading3"/>
        <w:spacing w:after="100" w:before="200"/>
      </w:pPr>
      <w:r>
        <w:t xml:space="preserve">General Comments</w:t>
      </w:r>
    </w:p>
    <w:p>
      <w:pPr>
        <w:spacing w:after="120"/>
      </w:pPr>
      <w:r>
        <w:rPr>
          <w:b w:val="false"/>
          <w:bCs w:val="false"/>
          <w:i w:val="false"/>
          <w:iCs w:val="false"/>
        </w:rPr>
        <w:t xml:space="preserve">On the whole candidates did well. Legibility is at times an issue; candidates need to make an effort to write clearly.</w:t>
      </w:r>
    </w:p>
    <w:p>
      <w:pPr>
        <w:pStyle w:val="Heading3"/>
        <w:spacing w:after="100" w:before="200"/>
      </w:pPr>
      <w:r>
        <w:t xml:space="preserve">Comments on Specific Questions</w:t>
      </w:r>
    </w:p>
    <w:p>
      <w:pPr>
        <w:spacing w:after="120"/>
      </w:pPr>
      <w:r>
        <w:rPr>
          <w:b/>
          <w:bCs/>
          <w:i w:val="false"/>
          <w:iCs w:val="false"/>
        </w:rPr>
        <w:t xml:space="preserve">Question 1</w:t>
      </w:r>
    </w:p>
    <w:p>
      <w:pPr>
        <w:spacing w:after="120"/>
      </w:pPr>
      <w:r>
        <w:rPr>
          <w:b w:val="false"/>
          <w:bCs w:val="false"/>
          <w:i w:val="false"/>
          <w:iCs w:val="false"/>
        </w:rPr>
        <w:t xml:space="preserve">(a) No particular Hadith posed a problem. Candidates need to pick up key words/phrases (e.g. 'strives in the way of Allah' in Hadith 7; 'sincerity' in Hadith 1) and explain what they refer to for the teachings of the Hadith, maintaining the balance between teaching (part a) and action (part b).</w:t>
      </w:r>
    </w:p>
    <w:p>
      <w:pPr>
        <w:spacing w:after="120"/>
      </w:pPr>
      <w:r>
        <w:rPr>
          <w:b w:val="false"/>
          <w:bCs w:val="false"/>
          <w:i w:val="false"/>
          <w:iCs w:val="false"/>
        </w:rPr>
        <w:t xml:space="preserve">(b) Candidates tend to write about the importance of the Hadiths; they must be reminded that Part (b) for Paper 2, Q1 focuses on how the teachings must be acted upon (distinct from Paper 1, where 1(b) asks about the importance of Surahs/verses).</w:t>
      </w:r>
    </w:p>
    <w:p>
      <w:pPr>
        <w:spacing w:after="120"/>
      </w:pPr>
      <w:r>
        <w:rPr>
          <w:b/>
          <w:bCs/>
          <w:i w:val="false"/>
          <w:iCs w:val="false"/>
        </w:rPr>
        <w:t xml:space="preserve">Question 2</w:t>
      </w:r>
    </w:p>
    <w:p>
      <w:pPr>
        <w:spacing w:after="120"/>
      </w:pPr>
      <w:r>
        <w:rPr>
          <w:b w:val="false"/>
          <w:bCs w:val="false"/>
          <w:i w:val="false"/>
          <w:iCs w:val="false"/>
        </w:rPr>
        <w:t xml:space="preserve">(a) Candidates needed to refer to the set Hadiths and say how they helped establish brotherhood, with at least 4 Hadiths in well-developed answers (many gave only three). Hadiths outside the set syllabus should not be used; references to Hadiths about individual conduct were creditable if linked back to establishing community brotherhood.</w:t>
      </w:r>
    </w:p>
    <w:p>
      <w:pPr>
        <w:spacing w:after="120"/>
      </w:pPr>
      <w:r>
        <w:rPr>
          <w:b w:val="false"/>
          <w:bCs w:val="false"/>
          <w:i w:val="false"/>
          <w:iCs w:val="false"/>
        </w:rPr>
        <w:t xml:space="preserve">(b) Well attempted, with sound evaluative reasons for the importance of brotherhood in Islam.</w:t>
      </w:r>
    </w:p>
    <w:p>
      <w:pPr>
        <w:spacing w:after="120"/>
      </w:pPr>
      <w:r>
        <w:rPr>
          <w:b/>
          <w:bCs/>
          <w:i w:val="false"/>
          <w:iCs w:val="false"/>
        </w:rPr>
        <w:t xml:space="preserve">Question 3</w:t>
      </w:r>
    </w:p>
    <w:p>
      <w:pPr>
        <w:spacing w:after="120"/>
      </w:pPr>
      <w:r>
        <w:rPr>
          <w:b w:val="false"/>
          <w:bCs w:val="false"/>
          <w:i w:val="false"/>
          <w:iCs w:val="false"/>
        </w:rPr>
        <w:t xml:space="preserve">(a) A straightforward knowledge question on the false prophets dealt with by Abu Bakr; all four needed to be covered, with Musaylima and the Battle of Yamama offering the most development. Some candidates mixed up details or focused on only 2-3 false prophets.</w:t>
      </w:r>
    </w:p>
    <w:p>
      <w:pPr>
        <w:spacing w:after="120"/>
      </w:pPr>
      <w:r>
        <w:rPr>
          <w:b w:val="false"/>
          <w:bCs w:val="false"/>
          <w:i w:val="false"/>
          <w:iCs w:val="false"/>
        </w:rPr>
        <w:t xml:space="preserve">(b) Thoughtful answers; some argued defeating false prophets and zakat-refusers were equally important, others chose between the two — both approaches credited.</w:t>
      </w:r>
    </w:p>
    <w:p>
      <w:pPr>
        <w:spacing w:after="120"/>
      </w:pPr>
      <w:r>
        <w:rPr>
          <w:b/>
          <w:bCs/>
          <w:i w:val="false"/>
          <w:iCs w:val="false"/>
        </w:rPr>
        <w:t xml:space="preserve">Question 4</w:t>
      </w:r>
    </w:p>
    <w:p>
      <w:pPr>
        <w:spacing w:after="120"/>
      </w:pPr>
      <w:r>
        <w:rPr>
          <w:b w:val="false"/>
          <w:bCs w:val="false"/>
          <w:i w:val="false"/>
          <w:iCs w:val="false"/>
        </w:rPr>
        <w:t xml:space="preserve">(a) Popular question. Candidates needed to give the words of the Shahada and its significance, covering both parts — belief in the Oneness of God and acknowledgement of the Prophet (pbuh). Some omitted one part or did not write the words as asked, losing easy marks.</w:t>
      </w:r>
    </w:p>
    <w:p>
      <w:pPr>
        <w:spacing w:after="120"/>
      </w:pPr>
      <w:r>
        <w:rPr>
          <w:b w:val="false"/>
          <w:bCs w:val="false"/>
          <w:i w:val="false"/>
          <w:iCs w:val="false"/>
        </w:rPr>
        <w:t xml:space="preserve">(b) Good understanding of the Shahada's importance was shown; candidates continue to improve their evaluative writing skills.</w:t>
      </w:r>
    </w:p>
    <w:p>
      <w:pPr>
        <w:spacing w:after="120"/>
      </w:pPr>
      <w:r>
        <w:rPr>
          <w:b/>
          <w:bCs/>
          <w:i w:val="false"/>
          <w:iCs w:val="false"/>
        </w:rPr>
        <w:t xml:space="preserve">Question 5</w:t>
      </w:r>
    </w:p>
    <w:p>
      <w:pPr>
        <w:spacing w:after="120"/>
      </w:pPr>
      <w:r>
        <w:rPr>
          <w:b w:val="false"/>
          <w:bCs w:val="false"/>
          <w:i w:val="false"/>
          <w:iCs w:val="false"/>
        </w:rPr>
        <w:t xml:space="preserve">(a) The question asked specifically about moral and spiritual benefits of fasting, but a significant number answered about physical/health benefits instead, sticking to prepared content rather than the question asked.</w:t>
      </w:r>
    </w:p>
    <w:p>
      <w:pPr>
        <w:spacing w:after="120"/>
      </w:pPr>
      <w:r>
        <w:rPr>
          <w:b w:val="false"/>
          <w:bCs w:val="false"/>
          <w:i w:val="false"/>
          <w:iCs w:val="false"/>
        </w:rPr>
        <w:t xml:space="preserve">(b) Good answers were seen, as this open question allowed candidates to select any benefit of fasting and justify their choice.</w:t>
      </w:r>
    </w:p>
    <w:p>
      <w:pPr>
        <w:pStyle w:val="Heading3"/>
        <w:spacing w:after="100" w:before="200"/>
      </w:pPr>
      <w:r>
        <w:t xml:space="preserve">Conclusion</w:t>
      </w:r>
    </w:p>
    <w:p>
      <w:pPr>
        <w:spacing w:after="120"/>
      </w:pPr>
      <w:r>
        <w:rPr>
          <w:b w:val="false"/>
          <w:bCs w:val="false"/>
          <w:i w:val="false"/>
          <w:iCs w:val="false"/>
        </w:rPr>
        <w:t xml:space="preserve">Keeping calm in an exam allows candidates to improvise and use overall subject knowledge if underprepared for a question. Classroom tests with a twist help prepare candidates for slightly different questions.</w:t>
      </w:r>
    </w:p>
    <w:p>
      <w:pPr>
        <w:pageBreakBefore/>
      </w:pPr>
    </w:p>
    <w:p>
      <w:pPr>
        <w:pStyle w:val="Heading2"/>
        <w:spacing w:after="120" w:before="240"/>
      </w:pPr>
      <w:r>
        <w:t xml:space="preserve">Paper 2058/22</w:t>
      </w:r>
    </w:p>
    <w:p>
      <w:pPr>
        <w:pStyle w:val="Heading3"/>
        <w:spacing w:after="100" w:before="200"/>
      </w:pPr>
      <w:r>
        <w:t xml:space="preserve">Key Messages</w:t>
      </w:r>
    </w:p>
    <w:p>
      <w:pPr>
        <w:spacing w:after="120"/>
      </w:pPr>
      <w:r>
        <w:rPr>
          <w:b w:val="false"/>
          <w:bCs w:val="false"/>
          <w:i w:val="false"/>
          <w:iCs w:val="false"/>
        </w:rPr>
        <w:t xml:space="preserve">Candidates must read and answer questions fully to reach higher levels/marks. Good answers require detailed, well-developed responses — the space provided is a good indicator of expected length. Relevancy, accuracy, detail and supporting quotes add to answers.</w:t>
      </w:r>
    </w:p>
    <w:p>
      <w:pPr>
        <w:pStyle w:val="Heading3"/>
        <w:spacing w:after="100" w:before="200"/>
      </w:pPr>
      <w:r>
        <w:t xml:space="preserve">General Comments</w:t>
      </w:r>
    </w:p>
    <w:p>
      <w:pPr>
        <w:spacing w:after="120"/>
      </w:pPr>
      <w:r>
        <w:rPr>
          <w:b w:val="false"/>
          <w:bCs w:val="false"/>
          <w:i w:val="false"/>
          <w:iCs w:val="false"/>
        </w:rPr>
        <w:t xml:space="preserve">Candidates showed sound knowledge of Part (a) topics. Question 3 was not attempted by the majority of candidates. Part of Question 5(a) on predestination and divine decree was confused with the Oneness of God and the Day of Judgment. Part (b) questions were on the whole well answered, and candidates who struggled in Part (a) sometimes gave good evaluative Part (b) answers.</w:t>
      </w:r>
    </w:p>
    <w:p>
      <w:pPr>
        <w:pStyle w:val="Heading3"/>
        <w:spacing w:after="100" w:before="200"/>
      </w:pPr>
      <w:r>
        <w:t xml:space="preserve">Comments on Specific Questions</w:t>
      </w:r>
    </w:p>
    <w:p>
      <w:pPr>
        <w:spacing w:after="120"/>
      </w:pPr>
      <w:r>
        <w:rPr>
          <w:b/>
          <w:bCs/>
          <w:i w:val="false"/>
          <w:iCs w:val="false"/>
        </w:rPr>
        <w:t xml:space="preserve">Question 1</w:t>
      </w:r>
    </w:p>
    <w:p>
      <w:pPr>
        <w:spacing w:after="120"/>
      </w:pPr>
      <w:r>
        <w:rPr>
          <w:b w:val="false"/>
          <w:bCs w:val="false"/>
          <w:i w:val="false"/>
          <w:iCs w:val="false"/>
        </w:rPr>
        <w:t xml:space="preserve">(a) Considerable paraphrasing was seen for Hadiths 6 and 8. Hadith 6 focuses on lawfully removing evil from society to create a just, peaceful community, with everyone playing their part; Hadith 8 concerns those killed in the way of Allah being martyrs. Candidates should write about the essence of the teaching rather than quoting the translation back. Hadiths 2 and 17 were well answered.</w:t>
      </w:r>
    </w:p>
    <w:p>
      <w:pPr>
        <w:spacing w:after="120"/>
      </w:pPr>
      <w:r>
        <w:rPr>
          <w:b w:val="false"/>
          <w:bCs w:val="false"/>
          <w:i w:val="false"/>
          <w:iCs w:val="false"/>
        </w:rPr>
        <w:t xml:space="preserve">(b) Candidates who struggled explaining Hadiths 6 and 8 in (a) were able to show understanding here; answers should give examples of the teachings being put into action, not merely restate the importance of Hadiths.</w:t>
      </w:r>
    </w:p>
    <w:p>
      <w:pPr>
        <w:spacing w:after="120"/>
      </w:pPr>
      <w:r>
        <w:rPr>
          <w:b/>
          <w:bCs/>
          <w:i w:val="false"/>
          <w:iCs w:val="false"/>
        </w:rPr>
        <w:t xml:space="preserve">Question 2</w:t>
      </w:r>
    </w:p>
    <w:p>
      <w:pPr>
        <w:spacing w:after="120"/>
      </w:pPr>
      <w:r>
        <w:rPr>
          <w:b w:val="false"/>
          <w:bCs w:val="false"/>
          <w:i w:val="false"/>
          <w:iCs w:val="false"/>
        </w:rPr>
        <w:t xml:space="preserve">(a) Candidates needed to write about the two components and two classifications of Hadith, and the relationship between them (e.g. sanad linked with musnad Hadiths compiled on isnad lines; matn linked with musannaf Hadiths compiled by topic). Most described the components/classifications well but did not address the relationship, though partial connections were credited where shown.</w:t>
      </w:r>
    </w:p>
    <w:p>
      <w:pPr>
        <w:spacing w:after="120"/>
      </w:pPr>
      <w:r>
        <w:rPr>
          <w:b w:val="false"/>
          <w:bCs w:val="false"/>
          <w:i w:val="false"/>
          <w:iCs w:val="false"/>
        </w:rPr>
        <w:t xml:space="preserve">(b) Most candidates answered comprehensively, showing good understanding of the importance of genuine Hadiths for living according to the Sunnah, understanding the Qur'an, and law-making.</w:t>
      </w:r>
    </w:p>
    <w:p>
      <w:pPr>
        <w:spacing w:after="120"/>
      </w:pPr>
      <w:r>
        <w:rPr>
          <w:b/>
          <w:bCs/>
          <w:i w:val="false"/>
          <w:iCs w:val="false"/>
        </w:rPr>
        <w:t xml:space="preserve">Question 3</w:t>
      </w:r>
    </w:p>
    <w:p>
      <w:pPr>
        <w:spacing w:after="120"/>
      </w:pPr>
      <w:r>
        <w:rPr>
          <w:b w:val="false"/>
          <w:bCs w:val="false"/>
          <w:i w:val="false"/>
          <w:iCs w:val="false"/>
        </w:rPr>
        <w:t xml:space="preserve">(a) The least popular question, attempted by few. Some candidates confused the Battle of Nihawand with the Battle of Nahrawan (fought under Hazrat Ali) and lost all marks; others gave vague accounts applicable to any battle under Umar, or wrote about Qadissiya instead of Nihawand. Specificity of detail is essential in battle questions.</w:t>
      </w:r>
    </w:p>
    <w:p>
      <w:pPr>
        <w:spacing w:after="120"/>
      </w:pPr>
      <w:r>
        <w:rPr>
          <w:b w:val="false"/>
          <w:bCs w:val="false"/>
          <w:i w:val="false"/>
          <w:iCs w:val="false"/>
        </w:rPr>
        <w:t xml:space="preserve">(b) Those who got Part (a) right generally got Part (b) right.</w:t>
      </w:r>
    </w:p>
    <w:p>
      <w:pPr>
        <w:spacing w:after="120"/>
      </w:pPr>
      <w:r>
        <w:rPr>
          <w:b/>
          <w:bCs/>
          <w:i w:val="false"/>
          <w:iCs w:val="false"/>
        </w:rPr>
        <w:t xml:space="preserve">Question 4</w:t>
      </w:r>
    </w:p>
    <w:p>
      <w:pPr>
        <w:spacing w:after="120"/>
      </w:pPr>
      <w:r>
        <w:rPr>
          <w:b w:val="false"/>
          <w:bCs w:val="false"/>
          <w:i w:val="false"/>
          <w:iCs w:val="false"/>
        </w:rPr>
        <w:t xml:space="preserve">(a) Asked about the benefits of salat to the individual and the community; many wrote about only one, losing marks. Friday and Eid prayers are congregational, but the daily five prayers in congregation (especially for men) should have formed the bulk of the answer.</w:t>
      </w:r>
    </w:p>
    <w:p>
      <w:pPr>
        <w:spacing w:after="120"/>
      </w:pPr>
      <w:r>
        <w:rPr>
          <w:b w:val="false"/>
          <w:bCs w:val="false"/>
          <w:i w:val="false"/>
          <w:iCs w:val="false"/>
        </w:rPr>
        <w:t xml:space="preserve">(b) Asked why it is important to begin praying salat from a young age; responses showed consistently good understanding and clearly developed ideas.</w:t>
      </w:r>
    </w:p>
    <w:p>
      <w:pPr>
        <w:spacing w:after="120"/>
      </w:pPr>
      <w:r>
        <w:rPr>
          <w:b/>
          <w:bCs/>
          <w:i w:val="false"/>
          <w:iCs w:val="false"/>
        </w:rPr>
        <w:t xml:space="preserve">Question 5</w:t>
      </w:r>
    </w:p>
    <w:p>
      <w:pPr>
        <w:spacing w:after="120"/>
      </w:pPr>
      <w:r>
        <w:rPr>
          <w:b w:val="false"/>
          <w:bCs w:val="false"/>
          <w:i w:val="false"/>
          <w:iCs w:val="false"/>
        </w:rPr>
        <w:t xml:space="preserve">(a) Candidates needed to cover both belief in Prophets and belief in God's predestination/decree. Some confused the latter with Tauhid or the Day of Judgment, losing credit for that part.</w:t>
      </w:r>
    </w:p>
    <w:p>
      <w:pPr>
        <w:spacing w:after="120"/>
      </w:pPr>
      <w:r>
        <w:rPr>
          <w:b w:val="false"/>
          <w:bCs w:val="false"/>
          <w:i w:val="false"/>
          <w:iCs w:val="false"/>
        </w:rPr>
        <w:t xml:space="preserve">(b) Linked to predestination/decree; candidates who misidentified this in (a) were on the wrong track in (b), but relevant, creditable writing was rewarded when present.</w:t>
      </w:r>
    </w:p>
    <w:p>
      <w:pPr>
        <w:pStyle w:val="Heading3"/>
        <w:spacing w:after="100" w:before="200"/>
      </w:pPr>
      <w:r>
        <w:t xml:space="preserve">Conclusion</w:t>
      </w:r>
    </w:p>
    <w:p>
      <w:pPr>
        <w:spacing w:after="120"/>
      </w:pPr>
      <w:r>
        <w:rPr>
          <w:b w:val="false"/>
          <w:bCs w:val="false"/>
          <w:i w:val="false"/>
          <w:iCs w:val="false"/>
        </w:rPr>
        <w:t xml:space="preserve">Candidates must take time to read and understand the question; developing relevant points, backed with detail and quotes where necessary, is an important exam skill that needs to be trained.</w:t>
      </w:r>
    </w:p>
    <w:p>
      <w:pPr>
        <w:pageBreakBefore/>
      </w:pPr>
    </w:p>
    <w:p>
      <w:pPr>
        <w:pStyle w:val="Heading1"/>
        <w:spacing w:after="150" w:before="300"/>
      </w:pPr>
      <w:r>
        <w:t xml:space="preserve">Mark Scheme — 2058/11 (Paper 1, May/June 2023)</w:t>
      </w:r>
    </w:p>
    <w:p>
      <w:pPr>
        <w:spacing w:after="120"/>
      </w:pPr>
      <w:r>
        <w:rPr>
          <w:b w:val="false"/>
          <w:bCs w:val="false"/>
          <w:i w:val="false"/>
          <w:iCs w:val="false"/>
        </w:rPr>
        <w:t xml:space="preserve">Maximum Mark: 50. Candidates answer Question 1, Question 2, and any two of Questions 3-5. Question 1 carries 8 marks; Questions 2-5 carry 14 marks each (10 for part (a) AO1, 4 for part (b) AO2), except Q1 (4 marks each part).</w:t>
      </w:r>
    </w:p>
    <w:p>
      <w:pPr>
        <w:pStyle w:val="Heading3"/>
        <w:spacing w:after="100" w:before="200"/>
      </w:pPr>
      <w:r>
        <w:t xml:space="preserve">AO1 — Levels of Response (Knowledge, Part (a))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5200"/>
      </w:tblGrid>
      <w:tr>
        <w:tc>
          <w:tcPr>
            <w:tcW w:type="dxa" w:w="900"/>
            <w:shd w:fill="1F3864" w:val="clear"/>
          </w:tcPr>
          <w:p>
            <w:pPr>
              <w:jc w:val="center"/>
            </w:pPr>
            <w:r>
              <w:rPr>
                <w:b/>
                <w:bCs/>
              </w:rPr>
              <w:t xml:space="preserve">Level</w:t>
            </w:r>
          </w:p>
        </w:tc>
        <w:tc>
          <w:tcPr>
            <w:tcW w:type="dxa" w:w="900"/>
            <w:shd w:fill="1F3864" w:val="clear"/>
          </w:tcPr>
          <w:p>
            <w:pPr>
              <w:jc w:val="center"/>
            </w:pPr>
            <w:r>
              <w:rPr>
                <w:b/>
                <w:bCs/>
              </w:rPr>
              <w:t xml:space="preserve">Mark (Q1)</w:t>
            </w:r>
          </w:p>
        </w:tc>
        <w:tc>
          <w:tcPr>
            <w:tcW w:type="dxa" w:w="900"/>
            <w:shd w:fill="1F3864" w:val="clear"/>
          </w:tcPr>
          <w:p>
            <w:pPr>
              <w:jc w:val="center"/>
            </w:pPr>
            <w:r>
              <w:rPr>
                <w:b/>
                <w:bCs/>
              </w:rPr>
              <w:t xml:space="preserve">Mark (Q2-5)</w:t>
            </w:r>
          </w:p>
        </w:tc>
        <w:tc>
          <w:tcPr>
            <w:tcW w:type="dxa" w:w="5200"/>
            <w:shd w:fill="1F3864" w:val="clear"/>
          </w:tcPr>
          <w:p>
            <w:pPr>
              <w:jc w:val="left"/>
            </w:pPr>
            <w:r>
              <w:rPr>
                <w:b/>
                <w:bCs/>
              </w:rPr>
              <w:t xml:space="preserve">Description</w:t>
            </w:r>
          </w:p>
        </w:tc>
      </w:tr>
      <w:tr>
        <w:tc>
          <w:tcPr>
            <w:tcW w:type="dxa" w:w="900"/>
          </w:tcPr>
          <w:p>
            <w:pPr>
              <w:jc w:val="center"/>
            </w:pPr>
            <w:r>
              <w:rPr>
                <w:b w:val="false"/>
                <w:bCs w:val="false"/>
              </w:rPr>
              <w:t xml:space="preserve">4</w:t>
            </w:r>
          </w:p>
        </w:tc>
        <w:tc>
          <w:tcPr>
            <w:tcW w:type="dxa" w:w="900"/>
          </w:tcPr>
          <w:p>
            <w:pPr>
              <w:jc w:val="center"/>
            </w:pPr>
            <w:r>
              <w:rPr>
                <w:b w:val="false"/>
                <w:bCs w:val="false"/>
              </w:rPr>
              <w:t xml:space="preserve">4</w:t>
            </w:r>
          </w:p>
        </w:tc>
        <w:tc>
          <w:tcPr>
            <w:tcW w:type="dxa" w:w="900"/>
          </w:tcPr>
          <w:p>
            <w:pPr>
              <w:jc w:val="center"/>
            </w:pPr>
            <w:r>
              <w:rPr>
                <w:b w:val="false"/>
                <w:bCs w:val="false"/>
              </w:rPr>
              <w:t xml:space="preserve">8-10</w:t>
            </w:r>
          </w:p>
        </w:tc>
        <w:tc>
          <w:tcPr>
            <w:tcW w:type="dxa" w:w="5200"/>
          </w:tcPr>
          <w:p>
            <w:pPr>
              <w:jc w:val="left"/>
            </w:pPr>
            <w:r>
              <w:rPr>
                <w:b w:val="false"/>
                <w:bCs w:val="false"/>
              </w:rPr>
              <w:t xml:space="preserve">Well-structured, clear, comprehensive; extensive and accurate knowledge; detailed, well-developed, relevant points; likely to quote Qur'an verses and Hadiths</w:t>
            </w:r>
          </w:p>
        </w:tc>
      </w:tr>
      <w:tr>
        <w:tc>
          <w:tcPr>
            <w:tcW w:type="dxa" w:w="900"/>
          </w:tcPr>
          <w:p>
            <w:pPr>
              <w:jc w:val="center"/>
            </w:pPr>
            <w:r>
              <w:rPr>
                <w:b w:val="false"/>
                <w:bCs w:val="false"/>
              </w:rPr>
              <w:t xml:space="preserve">3</w:t>
            </w:r>
          </w:p>
        </w:tc>
        <w:tc>
          <w:tcPr>
            <w:tcW w:type="dxa" w:w="900"/>
          </w:tcPr>
          <w:p>
            <w:pPr>
              <w:jc w:val="center"/>
            </w:pPr>
            <w:r>
              <w:rPr>
                <w:b w:val="false"/>
                <w:bCs w:val="false"/>
              </w:rPr>
              <w:t xml:space="preserve">3</w:t>
            </w:r>
          </w:p>
        </w:tc>
        <w:tc>
          <w:tcPr>
            <w:tcW w:type="dxa" w:w="900"/>
          </w:tcPr>
          <w:p>
            <w:pPr>
              <w:jc w:val="center"/>
            </w:pPr>
            <w:r>
              <w:rPr>
                <w:b w:val="false"/>
                <w:bCs w:val="false"/>
              </w:rPr>
              <w:t xml:space="preserve">5-7</w:t>
            </w:r>
          </w:p>
        </w:tc>
        <w:tc>
          <w:tcPr>
            <w:tcW w:type="dxa" w:w="5200"/>
          </w:tcPr>
          <w:p>
            <w:pPr>
              <w:jc w:val="left"/>
            </w:pPr>
            <w:r>
              <w:rPr>
                <w:b w:val="false"/>
                <w:bCs w:val="false"/>
              </w:rPr>
              <w:t xml:space="preserve">Well-structured and clear; sound accurate knowledge relevant to the question; points elaborated and generally accurate; may quote Qur'an verses and Hadiths</w:t>
            </w:r>
          </w:p>
        </w:tc>
      </w:tr>
      <w:tr>
        <w:tc>
          <w:tcPr>
            <w:tcW w:type="dxa" w:w="900"/>
          </w:tcPr>
          <w:p>
            <w:pPr>
              <w:jc w:val="center"/>
            </w:pPr>
            <w:r>
              <w:rPr>
                <w:b w:val="false"/>
                <w:bCs w:val="false"/>
              </w:rPr>
              <w:t xml:space="preserve">2</w:t>
            </w:r>
          </w:p>
        </w:tc>
        <w:tc>
          <w:tcPr>
            <w:tcW w:type="dxa" w:w="900"/>
          </w:tcPr>
          <w:p>
            <w:pPr>
              <w:jc w:val="center"/>
            </w:pPr>
            <w:r>
              <w:rPr>
                <w:b w:val="false"/>
                <w:bCs w:val="false"/>
              </w:rPr>
              <w:t xml:space="preserve">2</w:t>
            </w:r>
          </w:p>
        </w:tc>
        <w:tc>
          <w:tcPr>
            <w:tcW w:type="dxa" w:w="900"/>
          </w:tcPr>
          <w:p>
            <w:pPr>
              <w:jc w:val="center"/>
            </w:pPr>
            <w:r>
              <w:rPr>
                <w:b w:val="false"/>
                <w:bCs w:val="false"/>
              </w:rPr>
              <w:t xml:space="preserve">3-4</w:t>
            </w:r>
          </w:p>
        </w:tc>
        <w:tc>
          <w:tcPr>
            <w:tcW w:type="dxa" w:w="5200"/>
          </w:tcPr>
          <w:p>
            <w:pPr>
              <w:jc w:val="left"/>
            </w:pPr>
            <w:r>
              <w:rPr>
                <w:b w:val="false"/>
                <w:bCs w:val="false"/>
              </w:rPr>
              <w:t xml:space="preserve">An attempt at a structured response; lacks cohesion or is undeveloped; some knowledge covering main points but without detail; points sometimes relevant but limited</w:t>
            </w:r>
          </w:p>
        </w:tc>
      </w:tr>
      <w:tr>
        <w:tc>
          <w:tcPr>
            <w:tcW w:type="dxa" w:w="900"/>
          </w:tcPr>
          <w:p>
            <w:pPr>
              <w:jc w:val="center"/>
            </w:pPr>
            <w:r>
              <w:rPr>
                <w:b w:val="false"/>
                <w:bCs w:val="false"/>
              </w:rPr>
              <w:t xml:space="preserve">1</w:t>
            </w:r>
          </w:p>
        </w:tc>
        <w:tc>
          <w:tcPr>
            <w:tcW w:type="dxa" w:w="900"/>
          </w:tcPr>
          <w:p>
            <w:pPr>
              <w:jc w:val="center"/>
            </w:pPr>
            <w:r>
              <w:rPr>
                <w:b w:val="false"/>
                <w:bCs w:val="false"/>
              </w:rPr>
              <w:t xml:space="preserve">1</w:t>
            </w:r>
          </w:p>
        </w:tc>
        <w:tc>
          <w:tcPr>
            <w:tcW w:type="dxa" w:w="900"/>
          </w:tcPr>
          <w:p>
            <w:pPr>
              <w:jc w:val="center"/>
            </w:pPr>
            <w:r>
              <w:rPr>
                <w:b w:val="false"/>
                <w:bCs w:val="false"/>
              </w:rPr>
              <w:t xml:space="preserve">1-2</w:t>
            </w:r>
          </w:p>
        </w:tc>
        <w:tc>
          <w:tcPr>
            <w:tcW w:type="dxa" w:w="5200"/>
          </w:tcPr>
          <w:p>
            <w:pPr>
              <w:jc w:val="left"/>
            </w:pPr>
            <w:r>
              <w:rPr>
                <w:b w:val="false"/>
                <w:bCs w:val="false"/>
              </w:rPr>
              <w:t xml:space="preserve">Some attempt to answer; lacks cohesion and structure; limited knowledge; little connection to the question</w:t>
            </w:r>
          </w:p>
        </w:tc>
      </w:tr>
      <w:tr>
        <w:tc>
          <w:tcPr>
            <w:tcW w:type="dxa" w:w="900"/>
          </w:tcPr>
          <w:p>
            <w:pPr>
              <w:jc w:val="center"/>
            </w:pPr>
            <w:r>
              <w:rPr>
                <w:b w:val="false"/>
                <w:bCs w:val="false"/>
              </w:rPr>
              <w:t xml:space="preserve">0</w:t>
            </w:r>
          </w:p>
        </w:tc>
        <w:tc>
          <w:tcPr>
            <w:tcW w:type="dxa" w:w="900"/>
          </w:tcPr>
          <w:p>
            <w:pPr>
              <w:jc w:val="center"/>
            </w:pPr>
            <w:r>
              <w:rPr>
                <w:b w:val="false"/>
                <w:bCs w:val="false"/>
              </w:rPr>
              <w:t xml:space="preserve">0</w:t>
            </w:r>
          </w:p>
        </w:tc>
        <w:tc>
          <w:tcPr>
            <w:tcW w:type="dxa" w:w="900"/>
          </w:tcPr>
          <w:p>
            <w:pPr>
              <w:jc w:val="center"/>
            </w:pPr>
            <w:r>
              <w:rPr>
                <w:b w:val="false"/>
                <w:bCs w:val="false"/>
              </w:rPr>
              <w:t xml:space="preserve">0</w:t>
            </w:r>
          </w:p>
        </w:tc>
        <w:tc>
          <w:tcPr>
            <w:tcW w:type="dxa" w:w="5200"/>
          </w:tcPr>
          <w:p>
            <w:pPr>
              <w:jc w:val="left"/>
            </w:pPr>
            <w:r>
              <w:rPr>
                <w:b w:val="false"/>
                <w:bCs w:val="false"/>
              </w:rPr>
              <w:t xml:space="preserve">No creditable content</w:t>
            </w:r>
          </w:p>
        </w:tc>
      </w:tr>
    </w:tbl>
    <w:p>
      <w:pPr>
        <w:spacing w:after="150"/>
      </w:pPr>
    </w:p>
    <w:p>
      <w:pPr>
        <w:pStyle w:val="Heading3"/>
        <w:spacing w:after="100" w:before="200"/>
      </w:pPr>
      <w:r>
        <w:t xml:space="preserve">AO2 — Levels of Response (Understanding, Part (b))</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6100"/>
      </w:tblGrid>
      <w:tr>
        <w:tc>
          <w:tcPr>
            <w:tcW w:type="dxa" w:w="900"/>
            <w:shd w:fill="1F3864" w:val="clear"/>
          </w:tcPr>
          <w:p>
            <w:pPr>
              <w:jc w:val="center"/>
            </w:pPr>
            <w:r>
              <w:rPr>
                <w:b/>
                <w:bCs/>
              </w:rPr>
              <w:t xml:space="preserve">Level</w:t>
            </w:r>
          </w:p>
        </w:tc>
        <w:tc>
          <w:tcPr>
            <w:tcW w:type="dxa" w:w="900"/>
            <w:shd w:fill="1F3864" w:val="clear"/>
          </w:tcPr>
          <w:p>
            <w:pPr>
              <w:jc w:val="center"/>
            </w:pPr>
            <w:r>
              <w:rPr>
                <w:b/>
                <w:bCs/>
              </w:rPr>
              <w:t xml:space="preserve">Mark</w:t>
            </w:r>
          </w:p>
        </w:tc>
        <w:tc>
          <w:tcPr>
            <w:tcW w:type="dxa" w:w="6100"/>
            <w:shd w:fill="1F3864" w:val="clear"/>
          </w:tcPr>
          <w:p>
            <w:pPr>
              <w:jc w:val="left"/>
            </w:pPr>
            <w:r>
              <w:rPr>
                <w:b/>
                <w:bCs/>
              </w:rPr>
              <w:t xml:space="preserve">Descriptor</w:t>
            </w:r>
          </w:p>
        </w:tc>
      </w:tr>
      <w:tr>
        <w:tc>
          <w:tcPr>
            <w:tcW w:type="dxa" w:w="900"/>
          </w:tcPr>
          <w:p>
            <w:pPr>
              <w:jc w:val="center"/>
            </w:pPr>
            <w:r>
              <w:rPr>
                <w:b w:val="false"/>
                <w:bCs w:val="false"/>
              </w:rPr>
              <w:t xml:space="preserve">2</w:t>
            </w:r>
          </w:p>
        </w:tc>
        <w:tc>
          <w:tcPr>
            <w:tcW w:type="dxa" w:w="900"/>
          </w:tcPr>
          <w:p>
            <w:pPr>
              <w:jc w:val="center"/>
            </w:pPr>
            <w:r>
              <w:rPr>
                <w:b w:val="false"/>
                <w:bCs w:val="false"/>
              </w:rPr>
              <w:t xml:space="preserve">3-4</w:t>
            </w:r>
          </w:p>
        </w:tc>
        <w:tc>
          <w:tcPr>
            <w:tcW w:type="dxa" w:w="6100"/>
          </w:tcPr>
          <w:p>
            <w:pPr>
              <w:jc w:val="left"/>
            </w:pPr>
            <w:r>
              <w:rPr>
                <w:b w:val="false"/>
                <w:bCs w:val="false"/>
              </w:rPr>
              <w:t xml:space="preserve">Clear understanding of the question; able to use own opinions to engage with the question and present reasoning demonstrating understanding</w:t>
            </w:r>
          </w:p>
        </w:tc>
      </w:tr>
      <w:tr>
        <w:tc>
          <w:tcPr>
            <w:tcW w:type="dxa" w:w="900"/>
          </w:tcPr>
          <w:p>
            <w:pPr>
              <w:jc w:val="center"/>
            </w:pPr>
            <w:r>
              <w:rPr>
                <w:b w:val="false"/>
                <w:bCs w:val="false"/>
              </w:rPr>
              <w:t xml:space="preserve">1</w:t>
            </w:r>
          </w:p>
        </w:tc>
        <w:tc>
          <w:tcPr>
            <w:tcW w:type="dxa" w:w="900"/>
          </w:tcPr>
          <w:p>
            <w:pPr>
              <w:jc w:val="center"/>
            </w:pPr>
            <w:r>
              <w:rPr>
                <w:b w:val="false"/>
                <w:bCs w:val="false"/>
              </w:rPr>
              <w:t xml:space="preserve">1-2</w:t>
            </w:r>
          </w:p>
        </w:tc>
        <w:tc>
          <w:tcPr>
            <w:tcW w:type="dxa" w:w="6100"/>
          </w:tcPr>
          <w:p>
            <w:pPr>
              <w:jc w:val="left"/>
            </w:pPr>
            <w:r>
              <w:rPr>
                <w:b w:val="false"/>
                <w:bCs w:val="false"/>
              </w:rPr>
              <w:t xml:space="preserve">Some understanding of the question; descriptive and factual references with limited discussion of the material</w:t>
            </w:r>
          </w:p>
        </w:tc>
      </w:tr>
      <w:tr>
        <w:tc>
          <w:tcPr>
            <w:tcW w:type="dxa" w:w="900"/>
          </w:tcPr>
          <w:p>
            <w:pPr>
              <w:jc w:val="center"/>
            </w:pPr>
            <w:r>
              <w:rPr>
                <w:b w:val="false"/>
                <w:bCs w:val="false"/>
              </w:rPr>
              <w:t xml:space="preserve">0</w:t>
            </w:r>
          </w:p>
        </w:tc>
        <w:tc>
          <w:tcPr>
            <w:tcW w:type="dxa" w:w="900"/>
          </w:tcPr>
          <w:p>
            <w:pPr>
              <w:jc w:val="center"/>
            </w:pPr>
            <w:r>
              <w:rPr>
                <w:b w:val="false"/>
                <w:bCs w:val="false"/>
              </w:rPr>
              <w:t xml:space="preserve">0</w:t>
            </w:r>
          </w:p>
        </w:tc>
        <w:tc>
          <w:tcPr>
            <w:tcW w:type="dxa" w:w="6100"/>
          </w:tcPr>
          <w:p>
            <w:pPr>
              <w:jc w:val="left"/>
            </w:pPr>
            <w:r>
              <w:rPr>
                <w:b w:val="false"/>
                <w:bCs w:val="false"/>
              </w:rPr>
              <w:t xml:space="preserve">No creditable content</w:t>
            </w:r>
          </w:p>
        </w:tc>
      </w:tr>
    </w:tbl>
    <w:p>
      <w:pPr>
        <w:pStyle w:val="Heading2"/>
        <w:spacing w:after="120" w:before="240"/>
      </w:pPr>
      <w:r>
        <w:t xml:space="preserve">Question 1 — Qur'an Passages</w:t>
      </w:r>
    </w:p>
    <w:p>
      <w:pPr>
        <w:spacing w:after="120"/>
      </w:pPr>
      <w:r>
        <w:rPr>
          <w:b w:val="false"/>
          <w:bCs w:val="false"/>
          <w:i w:val="false"/>
          <w:iCs w:val="false"/>
        </w:rPr>
        <w:t xml:space="preserve">Sources: Sura 114 (Nas); Sura 2:30-37; Sura 108 (Kauthar).</w:t>
      </w:r>
    </w:p>
    <w:p>
      <w:pPr>
        <w:spacing w:after="100"/>
      </w:pPr>
      <w:r>
        <w:rPr>
          <w:b/>
          <w:bCs/>
        </w:rPr>
        <w:t xml:space="preserve">(a) Main themes of each passage</w:t>
      </w:r>
      <w:r>
        <w:rPr>
          <w:i/>
          <w:iCs/>
          <w:color w:val="555555"/>
        </w:rPr>
        <w:t xml:space="preserve">  [4 marks]</w:t>
      </w:r>
    </w:p>
    <w:p>
      <w:pPr>
        <w:spacing w:after="120"/>
      </w:pPr>
      <w:r>
        <w:rPr>
          <w:b/>
          <w:bCs/>
          <w:i w:val="false"/>
          <w:iCs w:val="false"/>
        </w:rPr>
        <w:t xml:space="preserve">Sura 114 — God's refuge and protection</w:t>
      </w:r>
    </w:p>
    <w:p>
      <w:pPr>
        <w:pStyle w:val="ListParagraph"/>
        <w:numPr>
          <w:ilvl w:val="0"/>
          <w:numId w:val="1"/>
        </w:numPr>
        <w:spacing w:after="60"/>
      </w:pPr>
      <w:r>
        <w:t xml:space="preserve">God's refuge — only He can help in times of need, in this case from jinn and men.</w:t>
      </w:r>
    </w:p>
    <w:p>
      <w:pPr>
        <w:pStyle w:val="ListParagraph"/>
        <w:numPr>
          <w:ilvl w:val="0"/>
          <w:numId w:val="1"/>
        </w:numPr>
        <w:spacing w:after="60"/>
      </w:pPr>
      <w:r>
        <w:t xml:space="preserve">Seek help only from Him, as Creator and controller of all things, even mischief-makers.</w:t>
      </w:r>
    </w:p>
    <w:p>
      <w:pPr>
        <w:pStyle w:val="ListParagraph"/>
        <w:numPr>
          <w:ilvl w:val="0"/>
          <w:numId w:val="1"/>
        </w:numPr>
        <w:spacing w:after="60"/>
      </w:pPr>
      <w:r>
        <w:t xml:space="preserve">A warning against those who whisper evil/bad ideas to humans then disappear.</w:t>
      </w:r>
    </w:p>
    <w:p>
      <w:pPr>
        <w:pStyle w:val="ListParagraph"/>
        <w:numPr>
          <w:ilvl w:val="0"/>
          <w:numId w:val="1"/>
        </w:numPr>
        <w:spacing w:after="60"/>
      </w:pPr>
      <w:r>
        <w:t xml:space="preserve">God is a protector; this sura is one of the suras of protection.</w:t>
      </w:r>
    </w:p>
    <w:p>
      <w:pPr>
        <w:spacing w:after="120"/>
      </w:pPr>
      <w:r>
        <w:rPr>
          <w:b/>
          <w:bCs/>
          <w:i w:val="false"/>
          <w:iCs w:val="false"/>
        </w:rPr>
        <w:t xml:space="preserve">Sura 2:30-37 — Allah's messengers</w:t>
      </w:r>
    </w:p>
    <w:p>
      <w:pPr>
        <w:pStyle w:val="ListParagraph"/>
        <w:numPr>
          <w:ilvl w:val="0"/>
          <w:numId w:val="1"/>
        </w:numPr>
        <w:spacing w:after="60"/>
      </w:pPr>
      <w:r>
        <w:t xml:space="preserve">God created Adam and made him a vicegerent (khalifa) on earth, suggesting humans are valued above angels.</w:t>
      </w:r>
    </w:p>
    <w:p>
      <w:pPr>
        <w:pStyle w:val="ListParagraph"/>
        <w:numPr>
          <w:ilvl w:val="0"/>
          <w:numId w:val="1"/>
        </w:numPr>
        <w:spacing w:after="60"/>
      </w:pPr>
      <w:r>
        <w:t xml:space="preserve">God gives knowledge and prophethood to whom He wishes.</w:t>
      </w:r>
    </w:p>
    <w:p>
      <w:pPr>
        <w:pStyle w:val="ListParagraph"/>
        <w:numPr>
          <w:ilvl w:val="0"/>
          <w:numId w:val="1"/>
        </w:numPr>
        <w:spacing w:after="60"/>
      </w:pPr>
      <w:r>
        <w:t xml:space="preserve">When Satan misled Adam, God did not abandon him or prevent him becoming His representative on earth.</w:t>
      </w:r>
    </w:p>
    <w:p>
      <w:pPr>
        <w:pStyle w:val="ListParagraph"/>
        <w:numPr>
          <w:ilvl w:val="0"/>
          <w:numId w:val="1"/>
        </w:numPr>
        <w:spacing w:after="60"/>
      </w:pPr>
      <w:r>
        <w:t xml:space="preserve">God shows mercy to His prophets and to humankind.</w:t>
      </w:r>
    </w:p>
    <w:p>
      <w:pPr>
        <w:spacing w:after="120"/>
      </w:pPr>
      <w:r>
        <w:rPr>
          <w:b/>
          <w:bCs/>
          <w:i w:val="false"/>
          <w:iCs w:val="false"/>
        </w:rPr>
        <w:t xml:space="preserve">Sura 108 — Allah's messengers</w:t>
      </w:r>
    </w:p>
    <w:p>
      <w:pPr>
        <w:pStyle w:val="ListParagraph"/>
        <w:numPr>
          <w:ilvl w:val="0"/>
          <w:numId w:val="1"/>
        </w:numPr>
        <w:spacing w:after="60"/>
      </w:pPr>
      <w:r>
        <w:t xml:space="preserve">Revealed as consolation to the Prophet (pbuh), foretelling destruction of his opponents.</w:t>
      </w:r>
    </w:p>
    <w:p>
      <w:pPr>
        <w:pStyle w:val="ListParagraph"/>
        <w:numPr>
          <w:ilvl w:val="0"/>
          <w:numId w:val="1"/>
        </w:numPr>
        <w:spacing w:after="60"/>
      </w:pPr>
      <w:r>
        <w:t xml:space="preserve">God gave the Prophet (pbuh) Kawthar — variously a river in paradise, progeny, guidance, success, followers.</w:t>
      </w:r>
    </w:p>
    <w:p>
      <w:pPr>
        <w:pStyle w:val="ListParagraph"/>
        <w:numPr>
          <w:ilvl w:val="0"/>
          <w:numId w:val="1"/>
        </w:numPr>
        <w:spacing w:after="60"/>
      </w:pPr>
      <w:r>
        <w:t xml:space="preserve">God commands His followers to pray to Him.</w:t>
      </w:r>
    </w:p>
    <w:p>
      <w:pPr>
        <w:pStyle w:val="ListParagraph"/>
        <w:numPr>
          <w:ilvl w:val="0"/>
          <w:numId w:val="1"/>
        </w:numPr>
        <w:spacing w:after="60"/>
      </w:pPr>
      <w:r>
        <w:t xml:space="preserve">Muslims are expected to worship God and display sacrifice, determination and good character.</w:t>
      </w:r>
    </w:p>
    <w:p>
      <w:pPr>
        <w:spacing w:after="100"/>
      </w:pPr>
      <w:r>
        <w:rPr>
          <w:b/>
          <w:bCs/>
        </w:rPr>
        <w:t xml:space="preserve">(b) Importance of these themes in a Muslim's life today</w:t>
      </w:r>
      <w:r>
        <w:rPr>
          <w:i/>
          <w:iCs/>
          <w:color w:val="555555"/>
        </w:rPr>
        <w:t xml:space="preserve">  [4 marks]</w:t>
      </w:r>
    </w:p>
    <w:p>
      <w:pPr>
        <w:spacing w:after="120"/>
      </w:pPr>
      <w:r>
        <w:rPr>
          <w:b/>
          <w:bCs/>
          <w:i w:val="false"/>
          <w:iCs w:val="false"/>
        </w:rPr>
        <w:t xml:space="preserve">Sura 114</w:t>
      </w:r>
    </w:p>
    <w:p>
      <w:pPr>
        <w:pStyle w:val="ListParagraph"/>
        <w:numPr>
          <w:ilvl w:val="0"/>
          <w:numId w:val="1"/>
        </w:numPr>
        <w:spacing w:after="60"/>
      </w:pPr>
      <w:r>
        <w:t xml:space="preserve">Muslims learn what evils/mischief to be wary of — jinn, humans, or internal whisperings such as jealousy.</w:t>
      </w:r>
    </w:p>
    <w:p>
      <w:pPr>
        <w:pStyle w:val="ListParagraph"/>
        <w:numPr>
          <w:ilvl w:val="0"/>
          <w:numId w:val="1"/>
        </w:numPr>
        <w:spacing w:after="60"/>
      </w:pPr>
      <w:r>
        <w:t xml:space="preserve">Recognising signs of mischief and temptation helps them stay aware.</w:t>
      </w:r>
    </w:p>
    <w:p>
      <w:pPr>
        <w:pStyle w:val="ListParagraph"/>
        <w:numPr>
          <w:ilvl w:val="0"/>
          <w:numId w:val="1"/>
        </w:numPr>
        <w:spacing w:after="60"/>
      </w:pPr>
      <w:r>
        <w:t xml:space="preserve">Prayer and good deeds strengthen reliance on God; reciting this Sura is a source of protection.</w:t>
      </w:r>
    </w:p>
    <w:p>
      <w:pPr>
        <w:pStyle w:val="ListParagraph"/>
        <w:numPr>
          <w:ilvl w:val="0"/>
          <w:numId w:val="1"/>
        </w:numPr>
        <w:spacing w:after="60"/>
      </w:pPr>
      <w:r>
        <w:t xml:space="preserve">God is King, so people should seek refuge with Him.</w:t>
      </w:r>
    </w:p>
    <w:p>
      <w:pPr>
        <w:spacing w:after="120"/>
      </w:pPr>
      <w:r>
        <w:rPr>
          <w:b/>
          <w:bCs/>
          <w:i w:val="false"/>
          <w:iCs w:val="false"/>
        </w:rPr>
        <w:t xml:space="preserve">Sura 2:30-37</w:t>
      </w:r>
    </w:p>
    <w:p>
      <w:pPr>
        <w:pStyle w:val="ListParagraph"/>
        <w:numPr>
          <w:ilvl w:val="0"/>
          <w:numId w:val="1"/>
        </w:numPr>
        <w:spacing w:after="60"/>
      </w:pPr>
      <w:r>
        <w:t xml:space="preserve">Adam, the first prophet, was God's representative on earth — giving Muslims a sense of connection as descendants of Adam.</w:t>
      </w:r>
    </w:p>
    <w:p>
      <w:pPr>
        <w:pStyle w:val="ListParagraph"/>
        <w:numPr>
          <w:ilvl w:val="0"/>
          <w:numId w:val="1"/>
        </w:numPr>
        <w:spacing w:after="60"/>
      </w:pPr>
      <w:r>
        <w:t xml:space="preserve">The angels bowing to Adam and God forgiving him show humankind's status; people should seek forgiveness and worship God.</w:t>
      </w:r>
    </w:p>
    <w:p>
      <w:pPr>
        <w:pStyle w:val="ListParagraph"/>
        <w:numPr>
          <w:ilvl w:val="0"/>
          <w:numId w:val="1"/>
        </w:numPr>
        <w:spacing w:after="60"/>
      </w:pPr>
      <w:r>
        <w:t xml:space="preserve">Shows God's care and direct relationship with every individual.</w:t>
      </w:r>
    </w:p>
    <w:p>
      <w:pPr>
        <w:spacing w:after="120"/>
      </w:pPr>
      <w:r>
        <w:rPr>
          <w:b/>
          <w:bCs/>
          <w:i w:val="false"/>
          <w:iCs w:val="false"/>
        </w:rPr>
        <w:t xml:space="preserve">Sura 108</w:t>
      </w:r>
    </w:p>
    <w:p>
      <w:pPr>
        <w:pStyle w:val="ListParagraph"/>
        <w:numPr>
          <w:ilvl w:val="0"/>
          <w:numId w:val="1"/>
        </w:numPr>
        <w:spacing w:after="60"/>
      </w:pPr>
      <w:r>
        <w:t xml:space="preserve">Muslims today are the 'future generation' promised to the Prophet (pbuh); the sura gives hope in times of need.</w:t>
      </w:r>
    </w:p>
    <w:p>
      <w:pPr>
        <w:pStyle w:val="ListParagraph"/>
        <w:numPr>
          <w:ilvl w:val="0"/>
          <w:numId w:val="1"/>
        </w:numPr>
        <w:spacing w:after="60"/>
      </w:pPr>
      <w:r>
        <w:t xml:space="preserve">God intervenes in difficulty, so Muslims should look to Him and remain steadfast despite hardship or mockery.</w:t>
      </w:r>
    </w:p>
    <w:p>
      <w:pPr>
        <w:pStyle w:val="ListParagraph"/>
        <w:numPr>
          <w:ilvl w:val="0"/>
          <w:numId w:val="1"/>
        </w:numPr>
        <w:spacing w:after="60"/>
      </w:pPr>
      <w:r>
        <w:t xml:space="preserve">Even prophets were tested; Muslims should not despair of God's mercy when facing hardship.</w:t>
      </w:r>
    </w:p>
    <w:p>
      <w:pPr>
        <w:pStyle w:val="Heading2"/>
        <w:spacing w:after="120" w:before="240"/>
      </w:pPr>
      <w:r>
        <w:t xml:space="preserve">Question 2 — The First Revelation</w:t>
      </w:r>
    </w:p>
    <w:p>
      <w:pPr>
        <w:spacing w:after="100"/>
      </w:pPr>
      <w:r>
        <w:rPr>
          <w:b/>
          <w:bCs/>
        </w:rPr>
        <w:t xml:space="preserve">(a) Write about the experience of the first revelation</w:t>
      </w:r>
      <w:r>
        <w:rPr>
          <w:i/>
          <w:iCs/>
          <w:color w:val="555555"/>
        </w:rPr>
        <w:t xml:space="preserve">  [10 marks]</w:t>
      </w:r>
    </w:p>
    <w:p>
      <w:pPr>
        <w:spacing w:after="120"/>
      </w:pPr>
      <w:r>
        <w:rPr>
          <w:b w:val="false"/>
          <w:bCs w:val="false"/>
          <w:i w:val="false"/>
          <w:iCs w:val="false"/>
        </w:rPr>
        <w:t xml:space="preserve">The Prophet (pbuh) increased time spent in solitude in the Cave of Hira. At age 40, during Ramadan, the angel Jibril came and instructed him to read ('Iqra'); the Prophet (pbuh) replied he could not. The angel squeezed him three times before he recited the first verses of Sura Alaq (96:1-5), which felt imprinted on his heart.</w:t>
      </w:r>
    </w:p>
    <w:p>
      <w:pPr>
        <w:spacing w:after="120"/>
      </w:pPr>
      <w:r>
        <w:rPr>
          <w:b w:val="false"/>
          <w:bCs w:val="false"/>
          <w:i w:val="false"/>
          <w:iCs w:val="false"/>
        </w:rPr>
        <w:t xml:space="preserve">Quoted verses (96:1-5): 'Read! in the name of your Lord, who created, Created man out of a clot of congealed blood: Proclaim! And your Lord is most bountiful, He who taught by the pen, Taught man what he did not know.'</w:t>
      </w:r>
    </w:p>
    <w:p>
      <w:pPr>
        <w:spacing w:after="120"/>
      </w:pPr>
      <w:r>
        <w:rPr>
          <w:b w:val="false"/>
          <w:bCs w:val="false"/>
          <w:i w:val="false"/>
          <w:iCs w:val="false"/>
        </w:rPr>
        <w:t xml:space="preserve">He came out of the cave and saw the angel on the horizon, who told him: 'You are the Messenger of Allah and I am Jibril.' Shaken, he ran home and asked his wife (Khadija) to cover him; she consoled him, and her cousin Waraqa ibn Nawfal confirmed his prophethood.</w:t>
      </w:r>
    </w:p>
    <w:p>
      <w:pPr>
        <w:spacing w:after="100"/>
      </w:pPr>
      <w:r>
        <w:rPr>
          <w:b/>
          <w:bCs/>
        </w:rPr>
        <w:t xml:space="preserve">(b) Importance of the revelation being sent to a Prophet who could not read or write</w:t>
      </w:r>
      <w:r>
        <w:rPr>
          <w:i/>
          <w:iCs/>
          <w:color w:val="555555"/>
        </w:rPr>
        <w:t xml:space="preserve">  [4 marks]</w:t>
      </w:r>
    </w:p>
    <w:p>
      <w:pPr>
        <w:pStyle w:val="ListParagraph"/>
        <w:numPr>
          <w:ilvl w:val="0"/>
          <w:numId w:val="1"/>
        </w:numPr>
        <w:spacing w:after="60"/>
      </w:pPr>
      <w:r>
        <w:t xml:space="preserve">Shows it would not have been possible for him to compose the Qur'an himself, confirming it is from God.</w:t>
      </w:r>
    </w:p>
    <w:p>
      <w:pPr>
        <w:pStyle w:val="ListParagraph"/>
        <w:numPr>
          <w:ilvl w:val="0"/>
          <w:numId w:val="1"/>
        </w:numPr>
        <w:spacing w:after="60"/>
      </w:pPr>
      <w:r>
        <w:t xml:space="preserve">God did not want anyone to be seen as the Prophet's teacher / superior in knowledge of God — a miracle.</w:t>
      </w:r>
    </w:p>
    <w:p>
      <w:pPr>
        <w:pStyle w:val="ListParagraph"/>
        <w:numPr>
          <w:ilvl w:val="0"/>
          <w:numId w:val="1"/>
        </w:numPr>
        <w:spacing w:after="60"/>
      </w:pPr>
      <w:r>
        <w:t xml:space="preserve">The Arabs' strong oral tradition allowed accurate preservation of the Qur'an through memory.</w:t>
      </w:r>
    </w:p>
    <w:p>
      <w:pPr>
        <w:pStyle w:val="ListParagraph"/>
        <w:numPr>
          <w:ilvl w:val="0"/>
          <w:numId w:val="1"/>
        </w:numPr>
        <w:spacing w:after="60"/>
      </w:pPr>
      <w:r>
        <w:t xml:space="preserve">He showed faith in his companions by allowing them to write down the revealed verses.</w:t>
      </w:r>
    </w:p>
    <w:p>
      <w:pPr>
        <w:pStyle w:val="Heading2"/>
        <w:spacing w:after="120" w:before="240"/>
      </w:pPr>
      <w:r>
        <w:t xml:space="preserve">Question 3 — Trustworthiness and Forgiveness</w:t>
      </w:r>
    </w:p>
    <w:p>
      <w:pPr>
        <w:spacing w:after="100"/>
      </w:pPr>
      <w:r>
        <w:rPr>
          <w:b/>
          <w:bCs/>
        </w:rPr>
        <w:t xml:space="preserve">(a) Examples of trustworthiness and forgiveness from the Prophet's life</w:t>
      </w:r>
      <w:r>
        <w:rPr>
          <w:i/>
          <w:iCs/>
          <w:color w:val="555555"/>
        </w:rPr>
        <w:t xml:space="preserve">  [10 marks]</w:t>
      </w:r>
    </w:p>
    <w:p>
      <w:pPr>
        <w:spacing w:after="120"/>
      </w:pPr>
      <w:r>
        <w:rPr>
          <w:b/>
          <w:bCs/>
          <w:i w:val="false"/>
          <w:iCs w:val="false"/>
        </w:rPr>
        <w:t xml:space="preserve">Trustworthiness (Al-Amin):</w:t>
      </w:r>
    </w:p>
    <w:p>
      <w:pPr>
        <w:pStyle w:val="ListParagraph"/>
        <w:numPr>
          <w:ilvl w:val="0"/>
          <w:numId w:val="1"/>
        </w:numPr>
        <w:spacing w:after="60"/>
      </w:pPr>
      <w:r>
        <w:t xml:space="preserve">Trusted by the Quraysh before prophethood; they continued to leave belongings with him, which he returned via 'Ali after migrating to Madina.</w:t>
      </w:r>
    </w:p>
    <w:p>
      <w:pPr>
        <w:pStyle w:val="ListParagraph"/>
        <w:numPr>
          <w:ilvl w:val="0"/>
          <w:numId w:val="1"/>
        </w:numPr>
        <w:spacing w:after="60"/>
      </w:pPr>
      <w:r>
        <w:t xml:space="preserve">Resolved the dispute over placing the Black Stone in the Ka'ba, welcomed as 'al-Amin'.</w:t>
      </w:r>
    </w:p>
    <w:p>
      <w:pPr>
        <w:pStyle w:val="ListParagraph"/>
        <w:numPr>
          <w:ilvl w:val="0"/>
          <w:numId w:val="1"/>
        </w:numPr>
        <w:spacing w:after="60"/>
      </w:pPr>
      <w:r>
        <w:t xml:space="preserve">Khadija's marriage proposal followed hearing of his integrity while trading on her behalf.</w:t>
      </w:r>
    </w:p>
    <w:p>
      <w:pPr>
        <w:pStyle w:val="ListParagraph"/>
        <w:numPr>
          <w:ilvl w:val="0"/>
          <w:numId w:val="1"/>
        </w:numPr>
        <w:spacing w:after="60"/>
      </w:pPr>
      <w:r>
        <w:t xml:space="preserve">Kept promises, e.g. returning Muslims to Makka without consent per the Treaty of Hudaybiyya terms.</w:t>
      </w:r>
    </w:p>
    <w:p>
      <w:pPr>
        <w:spacing w:after="120"/>
      </w:pPr>
      <w:r>
        <w:rPr>
          <w:b/>
          <w:bCs/>
          <w:i w:val="false"/>
          <w:iCs w:val="false"/>
        </w:rPr>
        <w:t xml:space="preserve">Forgiveness:</w:t>
      </w:r>
    </w:p>
    <w:p>
      <w:pPr>
        <w:pStyle w:val="ListParagraph"/>
        <w:numPr>
          <w:ilvl w:val="0"/>
          <w:numId w:val="1"/>
        </w:numPr>
        <w:spacing w:after="60"/>
      </w:pPr>
      <w:r>
        <w:t xml:space="preserve">'Aisha said the Prophet (pbuh) never took revenge on anyone for himself.</w:t>
      </w:r>
    </w:p>
    <w:p>
      <w:pPr>
        <w:pStyle w:val="ListParagraph"/>
        <w:numPr>
          <w:ilvl w:val="0"/>
          <w:numId w:val="1"/>
        </w:numPr>
        <w:spacing w:after="60"/>
      </w:pPr>
      <w:r>
        <w:t xml:space="preserve">At Ta'if, he refused Jibril's offer to crush the people, praying for their guidance instead.</w:t>
      </w:r>
    </w:p>
    <w:p>
      <w:pPr>
        <w:pStyle w:val="ListParagraph"/>
        <w:numPr>
          <w:ilvl w:val="0"/>
          <w:numId w:val="1"/>
        </w:numPr>
        <w:spacing w:after="60"/>
      </w:pPr>
      <w:r>
        <w:t xml:space="preserve">Forgave prominent persecutors on return to Makka, e.g. Abu Sufyan, and gave a general pardon to the Makkans.</w:t>
      </w:r>
    </w:p>
    <w:p>
      <w:pPr>
        <w:pStyle w:val="ListParagraph"/>
        <w:numPr>
          <w:ilvl w:val="0"/>
          <w:numId w:val="1"/>
        </w:numPr>
        <w:spacing w:after="60"/>
      </w:pPr>
      <w:r>
        <w:t xml:space="preserve">Forgave Wahshi (killer of his uncle Hamza) and Hind (who mutilated Hamza's body).</w:t>
      </w:r>
    </w:p>
    <w:p>
      <w:pPr>
        <w:pStyle w:val="ListParagraph"/>
        <w:numPr>
          <w:ilvl w:val="0"/>
          <w:numId w:val="1"/>
        </w:numPr>
        <w:spacing w:after="60"/>
      </w:pPr>
      <w:r>
        <w:t xml:space="preserve">Showed no animosity to Abdullah ibn Ubayy (a hypocrite), attending his funeral and praying at his grave.</w:t>
      </w:r>
    </w:p>
    <w:p>
      <w:pPr>
        <w:pStyle w:val="ListParagraph"/>
        <w:numPr>
          <w:ilvl w:val="0"/>
          <w:numId w:val="1"/>
        </w:numPr>
        <w:spacing w:after="60"/>
      </w:pPr>
      <w:r>
        <w:t xml:space="preserve">Other examples: Ikrimah ibn Abi Jahl, Sufwan ibn Umayyah, Habbar ibn al-Aswad.</w:t>
      </w:r>
    </w:p>
    <w:p>
      <w:pPr>
        <w:spacing w:after="100"/>
      </w:pPr>
      <w:r>
        <w:rPr>
          <w:b/>
          <w:bCs/>
        </w:rPr>
        <w:t xml:space="preserve">(b) How people can show trustworthiness to each other</w:t>
      </w:r>
      <w:r>
        <w:rPr>
          <w:i/>
          <w:iCs/>
          <w:color w:val="555555"/>
        </w:rPr>
        <w:t xml:space="preserve">  [4 marks]</w:t>
      </w:r>
    </w:p>
    <w:p>
      <w:pPr>
        <w:pStyle w:val="ListParagraph"/>
        <w:numPr>
          <w:ilvl w:val="0"/>
          <w:numId w:val="1"/>
        </w:numPr>
        <w:spacing w:after="60"/>
      </w:pPr>
      <w:r>
        <w:t xml:space="preserve">Keeping a secret entrusted to you.</w:t>
      </w:r>
    </w:p>
    <w:p>
      <w:pPr>
        <w:pStyle w:val="ListParagraph"/>
        <w:numPr>
          <w:ilvl w:val="0"/>
          <w:numId w:val="1"/>
        </w:numPr>
        <w:spacing w:after="60"/>
      </w:pPr>
      <w:r>
        <w:t xml:space="preserve">Looking after and returning borrowed items in good condition.</w:t>
      </w:r>
    </w:p>
    <w:p>
      <w:pPr>
        <w:pStyle w:val="ListParagraph"/>
        <w:numPr>
          <w:ilvl w:val="0"/>
          <w:numId w:val="1"/>
        </w:numPr>
        <w:spacing w:after="60"/>
      </w:pPr>
      <w:r>
        <w:t xml:space="preserve">Not cancelling arranged meetings without good reason.</w:t>
      </w:r>
    </w:p>
    <w:p>
      <w:pPr>
        <w:pStyle w:val="ListParagraph"/>
        <w:numPr>
          <w:ilvl w:val="0"/>
          <w:numId w:val="1"/>
        </w:numPr>
        <w:spacing w:after="60"/>
      </w:pPr>
      <w:r>
        <w:t xml:space="preserve">Being honest online/on social media about who you are and what you do.</w:t>
      </w:r>
    </w:p>
    <w:p>
      <w:pPr>
        <w:pStyle w:val="Heading2"/>
        <w:spacing w:after="120" w:before="240"/>
      </w:pPr>
      <w:r>
        <w:t xml:space="preserve">Question 4 — Battle of Uhud</w:t>
      </w:r>
    </w:p>
    <w:p>
      <w:pPr>
        <w:spacing w:after="100"/>
      </w:pPr>
      <w:r>
        <w:rPr>
          <w:b/>
          <w:bCs/>
        </w:rPr>
        <w:t xml:space="preserve">(a) Account of the Battle of Uhud</w:t>
      </w:r>
      <w:r>
        <w:rPr>
          <w:i/>
          <w:iCs/>
          <w:color w:val="555555"/>
        </w:rPr>
        <w:t xml:space="preserve">  [10 marks]</w:t>
      </w:r>
    </w:p>
    <w:p>
      <w:pPr>
        <w:spacing w:after="120"/>
      </w:pPr>
      <w:r>
        <w:rPr>
          <w:b w:val="false"/>
          <w:bCs w:val="false"/>
          <w:i w:val="false"/>
          <w:iCs w:val="false"/>
        </w:rPr>
        <w:t xml:space="preserve">Fought in 3AH (625) in revenge for the Makkan defeat at Badr. Makkan army: ~3000 led by Abu Sufyan ibn Harb; Muslims: ~1000, reduced when Abdullah ibn Ubayy deserted with 300 men. The Prophet (pbuh) posted 50 archers on a hill; Hamza was killed by Wahshi. Khalid ibn Walid's attempts to break through from behind were initially held off. When Muslims began collecting spoils, some archers left their post, allowing Khalid to attack from the rear; the Quraysh renewed the battle and many Muslims fled. The Prophet (pbuh) was surrounded and badly injured; a rumour of his death spread. Muslims retreated to Mount Uhud. The Makkans mutilated the dead (Hind chewing Hamza's liver). Muslims buried their martyrs and returned to Madina — around 70 Muslims and 22 Makkans were killed.</w:t>
      </w:r>
    </w:p>
    <w:p>
      <w:pPr>
        <w:spacing w:after="100"/>
      </w:pPr>
      <w:r>
        <w:rPr>
          <w:b/>
          <w:bCs/>
        </w:rPr>
        <w:t xml:space="preserve">(b) Most important lesson from the battle (candidate's opinion, with reasons)</w:t>
      </w:r>
      <w:r>
        <w:rPr>
          <w:i/>
          <w:iCs/>
          <w:color w:val="555555"/>
        </w:rPr>
        <w:t xml:space="preserve">  [4 marks]</w:t>
      </w:r>
    </w:p>
    <w:p>
      <w:pPr>
        <w:pStyle w:val="ListParagraph"/>
        <w:numPr>
          <w:ilvl w:val="0"/>
          <w:numId w:val="1"/>
        </w:numPr>
        <w:spacing w:after="60"/>
      </w:pPr>
      <w:r>
        <w:t xml:space="preserve">Muslims should listen to and obey the Prophet's (pbuh) orders to gain success.</w:t>
      </w:r>
    </w:p>
    <w:p>
      <w:pPr>
        <w:pStyle w:val="ListParagraph"/>
        <w:numPr>
          <w:ilvl w:val="0"/>
          <w:numId w:val="1"/>
        </w:numPr>
        <w:spacing w:after="60"/>
      </w:pPr>
      <w:r>
        <w:t xml:space="preserve">Consultation with others before decisions can be beneficial.</w:t>
      </w:r>
    </w:p>
    <w:p>
      <w:pPr>
        <w:pStyle w:val="ListParagraph"/>
        <w:numPr>
          <w:ilvl w:val="0"/>
          <w:numId w:val="1"/>
        </w:numPr>
        <w:spacing w:after="60"/>
      </w:pPr>
      <w:r>
        <w:t xml:space="preserve">Loyalty and standing together in difficult times is important.</w:t>
      </w:r>
    </w:p>
    <w:p>
      <w:pPr>
        <w:pStyle w:val="ListParagraph"/>
        <w:numPr>
          <w:ilvl w:val="0"/>
          <w:numId w:val="1"/>
        </w:numPr>
        <w:spacing w:after="60"/>
      </w:pPr>
      <w:r>
        <w:t xml:space="preserve">Victory is not guaranteed — Muslims must work hard for success.</w:t>
      </w:r>
    </w:p>
    <w:p>
      <w:pPr>
        <w:pStyle w:val="ListParagraph"/>
        <w:numPr>
          <w:ilvl w:val="0"/>
          <w:numId w:val="1"/>
        </w:numPr>
        <w:spacing w:after="60"/>
      </w:pPr>
      <w:r>
        <w:t xml:space="preserve">Losses and tragedies are part of life; learning from mistakes avoids repeating them.</w:t>
      </w:r>
    </w:p>
    <w:p>
      <w:pPr>
        <w:pStyle w:val="Heading2"/>
        <w:spacing w:after="120" w:before="240"/>
      </w:pPr>
      <w:r>
        <w:t xml:space="preserve">Question 5 — Fatima and Another Daughter</w:t>
      </w:r>
    </w:p>
    <w:p>
      <w:pPr>
        <w:spacing w:after="100"/>
      </w:pPr>
      <w:r>
        <w:rPr>
          <w:b/>
          <w:bCs/>
        </w:rPr>
        <w:t xml:space="preserve">(a) Life of Fatima and one other daughter</w:t>
      </w:r>
      <w:r>
        <w:rPr>
          <w:i/>
          <w:iCs/>
          <w:color w:val="555555"/>
        </w:rPr>
        <w:t xml:space="preserve">  [10 marks]</w:t>
      </w:r>
    </w:p>
    <w:p>
      <w:pPr>
        <w:spacing w:after="120"/>
      </w:pPr>
      <w:r>
        <w:rPr>
          <w:b/>
          <w:bCs/>
          <w:i w:val="false"/>
          <w:iCs w:val="false"/>
        </w:rPr>
        <w:t xml:space="preserve">Fatima:</w:t>
      </w:r>
    </w:p>
    <w:p>
      <w:pPr>
        <w:spacing w:after="120"/>
      </w:pPr>
      <w:r>
        <w:rPr>
          <w:b w:val="false"/>
          <w:bCs w:val="false"/>
          <w:i w:val="false"/>
          <w:iCs w:val="false"/>
        </w:rPr>
        <w:t xml:space="preserve">Youngest daughter, born a few years before prophethood; the only daughter to outlive the Prophet (pbuh). Helped clean impurities thrown on her father by the Quraysh; suffered the boycott at Shib-i-Abi Talib. Married 'Ali, had three sons and two daughters; endured hardship in marriage. Died six months after the Prophet (pbuh), buried in Janatul Baqi.</w:t>
      </w:r>
    </w:p>
    <w:p>
      <w:pPr>
        <w:spacing w:after="120"/>
      </w:pPr>
      <w:r>
        <w:rPr>
          <w:b/>
          <w:bCs/>
          <w:i w:val="false"/>
          <w:iCs w:val="false"/>
        </w:rPr>
        <w:t xml:space="preserve">Zaynab:</w:t>
      </w:r>
    </w:p>
    <w:p>
      <w:pPr>
        <w:spacing w:after="120"/>
      </w:pPr>
      <w:r>
        <w:rPr>
          <w:b w:val="false"/>
          <w:bCs w:val="false"/>
          <w:i w:val="false"/>
          <w:iCs w:val="false"/>
        </w:rPr>
        <w:t xml:space="preserve">Eldest daughter; married Abu al-'As ibn Rabi. Stayed in Makka with her (initially non-Muslim) husband while others migrated. He was captured at Badr; she sent her mother's necklace for ransom, and the Prophet (pbuh) asked for it to be returned in exchange for her release to Madina. Injured and miscarried during a forced attempt to stop her leaving Makka; later reached Madina safely and died in 8AH.</w:t>
      </w:r>
    </w:p>
    <w:p>
      <w:pPr>
        <w:spacing w:after="120"/>
      </w:pPr>
      <w:r>
        <w:rPr>
          <w:b/>
          <w:bCs/>
          <w:i w:val="false"/>
          <w:iCs w:val="false"/>
        </w:rPr>
        <w:t xml:space="preserve">Ruqayya:</w:t>
      </w:r>
    </w:p>
    <w:p>
      <w:pPr>
        <w:spacing w:after="120"/>
      </w:pPr>
      <w:r>
        <w:rPr>
          <w:b w:val="false"/>
          <w:bCs w:val="false"/>
          <w:i w:val="false"/>
          <w:iCs w:val="false"/>
        </w:rPr>
        <w:t xml:space="preserve">Married Utbah (Abu Lahab's son), who was told to divorce her after Sura Lahab was revealed. Later married 'Uthman; migrated to Abyssinia then Madina before the Prophet (pbuh), earning the title 'Lady of the two migrations'. Died during the Battle of Badr; the Prophet (pbuh) led her funeral prayer on his return.</w:t>
      </w:r>
    </w:p>
    <w:p>
      <w:pPr>
        <w:spacing w:after="120"/>
      </w:pPr>
      <w:r>
        <w:rPr>
          <w:b/>
          <w:bCs/>
          <w:i w:val="false"/>
          <w:iCs w:val="false"/>
        </w:rPr>
        <w:t xml:space="preserve">Umm Kulthum:</w:t>
      </w:r>
    </w:p>
    <w:p>
      <w:pPr>
        <w:spacing w:after="120"/>
      </w:pPr>
      <w:r>
        <w:rPr>
          <w:b w:val="false"/>
          <w:bCs w:val="false"/>
          <w:i w:val="false"/>
          <w:iCs w:val="false"/>
        </w:rPr>
        <w:t xml:space="preserve">Third daughter, married Utaybah (Abu Lahab's son) then divorced before living with him; suffered severe persecution and the boycott. Married 'Uthman after Ruqayya's death; had no children; died in 9AH.</w:t>
      </w:r>
    </w:p>
    <w:p>
      <w:pPr>
        <w:spacing w:after="100"/>
      </w:pPr>
      <w:r>
        <w:rPr>
          <w:b/>
          <w:bCs/>
        </w:rPr>
        <w:t xml:space="preserve">(b) Lessons from the Prophet's relationship with his daughters</w:t>
      </w:r>
      <w:r>
        <w:rPr>
          <w:i/>
          <w:iCs/>
          <w:color w:val="555555"/>
        </w:rPr>
        <w:t xml:space="preserve">  [4 marks]</w:t>
      </w:r>
    </w:p>
    <w:p>
      <w:pPr>
        <w:pStyle w:val="ListParagraph"/>
        <w:numPr>
          <w:ilvl w:val="0"/>
          <w:numId w:val="1"/>
        </w:numPr>
        <w:spacing w:after="60"/>
      </w:pPr>
      <w:r>
        <w:t xml:space="preserve">Fathers should be compassionate, loving and respectful toward their daughters.</w:t>
      </w:r>
    </w:p>
    <w:p>
      <w:pPr>
        <w:pStyle w:val="ListParagraph"/>
        <w:numPr>
          <w:ilvl w:val="0"/>
          <w:numId w:val="1"/>
        </w:numPr>
        <w:spacing w:after="60"/>
      </w:pPr>
      <w:r>
        <w:t xml:space="preserve">Daughters should show respect for their fathers.</w:t>
      </w:r>
    </w:p>
    <w:p>
      <w:pPr>
        <w:pStyle w:val="ListParagraph"/>
        <w:numPr>
          <w:ilvl w:val="0"/>
          <w:numId w:val="1"/>
        </w:numPr>
        <w:spacing w:after="60"/>
      </w:pPr>
      <w:r>
        <w:t xml:space="preserve">Examples of putting these lessons into practice should be given.</w:t>
      </w:r>
    </w:p>
    <w:p>
      <w:pPr>
        <w:pageBreakBefore/>
      </w:pPr>
    </w:p>
    <w:p>
      <w:pPr>
        <w:pStyle w:val="Heading1"/>
        <w:spacing w:after="150" w:before="300"/>
      </w:pPr>
      <w:r>
        <w:t xml:space="preserve">Mark Scheme — 2058/12 (Paper 1, May/June 2023)</w:t>
      </w:r>
    </w:p>
    <w:p>
      <w:pPr>
        <w:spacing w:after="120"/>
      </w:pPr>
      <w:r>
        <w:rPr>
          <w:b w:val="false"/>
          <w:bCs w:val="false"/>
          <w:i w:val="false"/>
          <w:iCs w:val="false"/>
        </w:rPr>
        <w:t xml:space="preserve">Maximum Mark: 50. Structure identical to Paper 11: Question 1 (8 marks), Questions 2-5 (14 marks each: 10 AO1 + 4 AO2).</w:t>
      </w:r>
    </w:p>
    <w:p>
      <w:pPr>
        <w:pStyle w:val="Heading2"/>
        <w:spacing w:after="120" w:before="240"/>
      </w:pPr>
      <w:r>
        <w:t xml:space="preserve">Question 1 — Qur'an Passages</w:t>
      </w:r>
    </w:p>
    <w:p>
      <w:pPr>
        <w:spacing w:after="120"/>
      </w:pPr>
      <w:r>
        <w:rPr>
          <w:b w:val="false"/>
          <w:bCs w:val="false"/>
          <w:i w:val="false"/>
          <w:iCs w:val="false"/>
        </w:rPr>
        <w:t xml:space="preserve">Sources: Sura 41:37; Sura 42:4-5; Sura 6:75-79.</w:t>
      </w:r>
    </w:p>
    <w:p>
      <w:pPr>
        <w:spacing w:after="100"/>
      </w:pPr>
      <w:r>
        <w:rPr>
          <w:b/>
          <w:bCs/>
        </w:rPr>
        <w:t xml:space="preserve">(a) Main themes of each passage</w:t>
      </w:r>
      <w:r>
        <w:rPr>
          <w:i/>
          <w:iCs/>
          <w:color w:val="555555"/>
        </w:rPr>
        <w:t xml:space="preserve">  [4 marks]</w:t>
      </w:r>
    </w:p>
    <w:p>
      <w:pPr>
        <w:spacing w:after="120"/>
      </w:pPr>
      <w:r>
        <w:rPr>
          <w:b/>
          <w:bCs/>
          <w:i w:val="false"/>
          <w:iCs w:val="false"/>
        </w:rPr>
        <w:t xml:space="preserve">Sura 41:37 — Allah in Himself</w:t>
      </w:r>
    </w:p>
    <w:p>
      <w:pPr>
        <w:pStyle w:val="ListParagraph"/>
        <w:numPr>
          <w:ilvl w:val="0"/>
          <w:numId w:val="1"/>
        </w:numPr>
        <w:spacing w:after="60"/>
      </w:pPr>
      <w:r>
        <w:t xml:space="preserve">God creates and controls everything, specifically the sun and moon.</w:t>
      </w:r>
    </w:p>
    <w:p>
      <w:pPr>
        <w:pStyle w:val="ListParagraph"/>
        <w:numPr>
          <w:ilvl w:val="0"/>
          <w:numId w:val="1"/>
        </w:numPr>
        <w:spacing w:after="60"/>
      </w:pPr>
      <w:r>
        <w:t xml:space="preserve">The order and cycle of sun and moon are signs of God's power.</w:t>
      </w:r>
    </w:p>
    <w:p>
      <w:pPr>
        <w:pStyle w:val="ListParagraph"/>
        <w:numPr>
          <w:ilvl w:val="0"/>
          <w:numId w:val="1"/>
        </w:numPr>
        <w:spacing w:after="60"/>
      </w:pPr>
      <w:r>
        <w:t xml:space="preserve">As Creator, only He should be worshipped (tawhid).</w:t>
      </w:r>
    </w:p>
    <w:p>
      <w:pPr>
        <w:pStyle w:val="ListParagraph"/>
        <w:numPr>
          <w:ilvl w:val="0"/>
          <w:numId w:val="1"/>
        </w:numPr>
        <w:spacing w:after="60"/>
      </w:pPr>
      <w:r>
        <w:t xml:space="preserve">A negation of paganism — the sun and moon are not to be worshipped.</w:t>
      </w:r>
    </w:p>
    <w:p>
      <w:pPr>
        <w:spacing w:after="120"/>
      </w:pPr>
      <w:r>
        <w:rPr>
          <w:b/>
          <w:bCs/>
          <w:i w:val="false"/>
          <w:iCs w:val="false"/>
        </w:rPr>
        <w:t xml:space="preserve">Sura 42:4-5 — Allah in Himself</w:t>
      </w:r>
    </w:p>
    <w:p>
      <w:pPr>
        <w:pStyle w:val="ListParagraph"/>
        <w:numPr>
          <w:ilvl w:val="0"/>
          <w:numId w:val="1"/>
        </w:numPr>
        <w:spacing w:after="60"/>
      </w:pPr>
      <w:r>
        <w:t xml:space="preserve">God is the owner of everything, having created everything.</w:t>
      </w:r>
    </w:p>
    <w:p>
      <w:pPr>
        <w:pStyle w:val="ListParagraph"/>
        <w:numPr>
          <w:ilvl w:val="0"/>
          <w:numId w:val="1"/>
        </w:numPr>
        <w:spacing w:after="60"/>
      </w:pPr>
      <w:r>
        <w:t xml:space="preserve">His greatness has the power to tear the heavens apart.</w:t>
      </w:r>
    </w:p>
    <w:p>
      <w:pPr>
        <w:pStyle w:val="ListParagraph"/>
        <w:numPr>
          <w:ilvl w:val="0"/>
          <w:numId w:val="1"/>
        </w:numPr>
        <w:spacing w:after="60"/>
      </w:pPr>
      <w:r>
        <w:t xml:space="preserve">The angels praise God and pray for forgiveness of humans on earth.</w:t>
      </w:r>
    </w:p>
    <w:p>
      <w:pPr>
        <w:pStyle w:val="ListParagraph"/>
        <w:numPr>
          <w:ilvl w:val="0"/>
          <w:numId w:val="1"/>
        </w:numPr>
        <w:spacing w:after="60"/>
      </w:pPr>
      <w:r>
        <w:t xml:space="preserve">Humans are reliant on God's mercy, as He is most forgiving, most merciful.</w:t>
      </w:r>
    </w:p>
    <w:p>
      <w:pPr>
        <w:spacing w:after="120"/>
      </w:pPr>
      <w:r>
        <w:rPr>
          <w:b/>
          <w:bCs/>
          <w:i w:val="false"/>
          <w:iCs w:val="false"/>
        </w:rPr>
        <w:t xml:space="preserve">Sura 6:75-79 — Allah's messengers</w:t>
      </w:r>
    </w:p>
    <w:p>
      <w:pPr>
        <w:pStyle w:val="ListParagraph"/>
        <w:numPr>
          <w:ilvl w:val="0"/>
          <w:numId w:val="1"/>
        </w:numPr>
        <w:spacing w:after="60"/>
      </w:pPr>
      <w:r>
        <w:t xml:space="preserve">God's power shown through control of the sun and moon.</w:t>
      </w:r>
    </w:p>
    <w:p>
      <w:pPr>
        <w:pStyle w:val="ListParagraph"/>
        <w:numPr>
          <w:ilvl w:val="0"/>
          <w:numId w:val="1"/>
        </w:numPr>
        <w:spacing w:after="60"/>
      </w:pPr>
      <w:r>
        <w:t xml:space="preserve">His signs are in creation; unlike created things, He does not fade or die.</w:t>
      </w:r>
    </w:p>
    <w:p>
      <w:pPr>
        <w:pStyle w:val="ListParagraph"/>
        <w:numPr>
          <w:ilvl w:val="0"/>
          <w:numId w:val="1"/>
        </w:numPr>
        <w:spacing w:after="60"/>
      </w:pPr>
      <w:r>
        <w:t xml:space="preserve">Shows His relationship with prophets — Ibrahim searching for God, guided by these signs.</w:t>
      </w:r>
    </w:p>
    <w:p>
      <w:pPr>
        <w:pStyle w:val="ListParagraph"/>
        <w:numPr>
          <w:ilvl w:val="0"/>
          <w:numId w:val="1"/>
        </w:numPr>
        <w:spacing w:after="60"/>
      </w:pPr>
      <w:r>
        <w:t xml:space="preserve">Ibrahim, like all prophets, professed tawhid; these verses call Muslims to worship God alone.</w:t>
      </w:r>
    </w:p>
    <w:p>
      <w:pPr>
        <w:spacing w:after="100"/>
      </w:pPr>
      <w:r>
        <w:rPr>
          <w:b/>
          <w:bCs/>
        </w:rPr>
        <w:t xml:space="preserve">(b) Importance of these themes in a Muslim's life today</w:t>
      </w:r>
      <w:r>
        <w:rPr>
          <w:i/>
          <w:iCs/>
          <w:color w:val="555555"/>
        </w:rPr>
        <w:t xml:space="preserve">  [4 marks]</w:t>
      </w:r>
    </w:p>
    <w:p>
      <w:pPr>
        <w:spacing w:after="120"/>
      </w:pPr>
      <w:r>
        <w:rPr>
          <w:b/>
          <w:bCs/>
          <w:i w:val="false"/>
          <w:iCs w:val="false"/>
        </w:rPr>
        <w:t xml:space="preserve">Sura 41:37</w:t>
      </w:r>
    </w:p>
    <w:p>
      <w:pPr>
        <w:pStyle w:val="ListParagraph"/>
        <w:numPr>
          <w:ilvl w:val="0"/>
          <w:numId w:val="1"/>
        </w:numPr>
        <w:spacing w:after="60"/>
      </w:pPr>
      <w:r>
        <w:t xml:space="preserve">Believers should acknowledge created things are not permanent.</w:t>
      </w:r>
    </w:p>
    <w:p>
      <w:pPr>
        <w:pStyle w:val="ListParagraph"/>
        <w:numPr>
          <w:ilvl w:val="0"/>
          <w:numId w:val="1"/>
        </w:numPr>
        <w:spacing w:after="60"/>
      </w:pPr>
      <w:r>
        <w:t xml:space="preserve">They should look to one God for answers, not to created things.</w:t>
      </w:r>
    </w:p>
    <w:p>
      <w:pPr>
        <w:pStyle w:val="ListParagraph"/>
        <w:numPr>
          <w:ilvl w:val="0"/>
          <w:numId w:val="1"/>
        </w:numPr>
        <w:spacing w:after="60"/>
      </w:pPr>
      <w:r>
        <w:t xml:space="preserve">Pondering His signs and creation strengthens faith.</w:t>
      </w:r>
    </w:p>
    <w:p>
      <w:pPr>
        <w:spacing w:after="120"/>
      </w:pPr>
      <w:r>
        <w:rPr>
          <w:b/>
          <w:bCs/>
          <w:i w:val="false"/>
          <w:iCs w:val="false"/>
        </w:rPr>
        <w:t xml:space="preserve">Sura 42:4-5</w:t>
      </w:r>
    </w:p>
    <w:p>
      <w:pPr>
        <w:pStyle w:val="ListParagraph"/>
        <w:numPr>
          <w:ilvl w:val="0"/>
          <w:numId w:val="1"/>
        </w:numPr>
        <w:spacing w:after="60"/>
      </w:pPr>
      <w:r>
        <w:t xml:space="preserve">God's power and control over all things reminds humans they hold no power in comparison.</w:t>
      </w:r>
    </w:p>
    <w:p>
      <w:pPr>
        <w:pStyle w:val="ListParagraph"/>
        <w:numPr>
          <w:ilvl w:val="0"/>
          <w:numId w:val="1"/>
        </w:numPr>
        <w:spacing w:after="60"/>
      </w:pPr>
      <w:r>
        <w:t xml:space="preserve">God's mercy gives Muslims someone to turn to after wrongdoing.</w:t>
      </w:r>
    </w:p>
    <w:p>
      <w:pPr>
        <w:pStyle w:val="ListParagraph"/>
        <w:numPr>
          <w:ilvl w:val="0"/>
          <w:numId w:val="1"/>
        </w:numPr>
        <w:spacing w:after="60"/>
      </w:pPr>
      <w:r>
        <w:t xml:space="preserve">As God is merciful, Muslims should be grateful and forgiving of others.</w:t>
      </w:r>
    </w:p>
    <w:p>
      <w:pPr>
        <w:pStyle w:val="ListParagraph"/>
        <w:numPr>
          <w:ilvl w:val="0"/>
          <w:numId w:val="1"/>
        </w:numPr>
        <w:spacing w:after="60"/>
      </w:pPr>
      <w:r>
        <w:t xml:space="preserve">Humans should not despair of God's mercy, however much they have sinned.</w:t>
      </w:r>
    </w:p>
    <w:p>
      <w:pPr>
        <w:pStyle w:val="ListParagraph"/>
        <w:numPr>
          <w:ilvl w:val="0"/>
          <w:numId w:val="1"/>
        </w:numPr>
        <w:spacing w:after="60"/>
      </w:pPr>
      <w:r>
        <w:t xml:space="preserve">The angels' obedience to God can encourage human obedience.</w:t>
      </w:r>
    </w:p>
    <w:p>
      <w:pPr>
        <w:spacing w:after="120"/>
      </w:pPr>
      <w:r>
        <w:rPr>
          <w:b/>
          <w:bCs/>
          <w:i w:val="false"/>
          <w:iCs w:val="false"/>
        </w:rPr>
        <w:t xml:space="preserve">Sura 6:75-79</w:t>
      </w:r>
    </w:p>
    <w:p>
      <w:pPr>
        <w:pStyle w:val="ListParagraph"/>
        <w:numPr>
          <w:ilvl w:val="0"/>
          <w:numId w:val="1"/>
        </w:numPr>
        <w:spacing w:after="60"/>
      </w:pPr>
      <w:r>
        <w:t xml:space="preserve">Strengthens belief in God's Oneness — Muslims should not look elsewhere for help.</w:t>
      </w:r>
    </w:p>
    <w:p>
      <w:pPr>
        <w:pStyle w:val="ListParagraph"/>
        <w:numPr>
          <w:ilvl w:val="0"/>
          <w:numId w:val="1"/>
        </w:numPr>
        <w:spacing w:after="60"/>
      </w:pPr>
      <w:r>
        <w:t xml:space="preserve">Shows how God guided His messengers (Ibrahim); humans should use their minds to reflect on God.</w:t>
      </w:r>
    </w:p>
    <w:p>
      <w:pPr>
        <w:pStyle w:val="ListParagraph"/>
        <w:numPr>
          <w:ilvl w:val="0"/>
          <w:numId w:val="1"/>
        </w:numPr>
        <w:spacing w:after="60"/>
      </w:pPr>
      <w:r>
        <w:t xml:space="preserve">God's signs invite observation of the environment, creating awe and closeness to Him.</w:t>
      </w:r>
    </w:p>
    <w:p>
      <w:pPr>
        <w:pStyle w:val="ListParagraph"/>
        <w:numPr>
          <w:ilvl w:val="0"/>
          <w:numId w:val="1"/>
        </w:numPr>
        <w:spacing w:after="60"/>
      </w:pPr>
      <w:r>
        <w:t xml:space="preserve">Reminds humankind that He is Creator of all things, prompting reliance on Him in times of need.</w:t>
      </w:r>
    </w:p>
    <w:p>
      <w:pPr>
        <w:pStyle w:val="Heading2"/>
        <w:spacing w:after="120" w:before="240"/>
      </w:pPr>
      <w:r>
        <w:t xml:space="preserve">Question 2 — Modes of Revelation</w:t>
      </w:r>
    </w:p>
    <w:p>
      <w:pPr>
        <w:spacing w:after="100"/>
      </w:pPr>
      <w:r>
        <w:rPr>
          <w:b/>
          <w:bCs/>
        </w:rPr>
        <w:t xml:space="preserve">(a) Different ways revelations were received by the Prophet (pbuh)</w:t>
      </w:r>
      <w:r>
        <w:rPr>
          <w:i/>
          <w:iCs/>
          <w:color w:val="555555"/>
        </w:rPr>
        <w:t xml:space="preserve">  [10 marks]</w:t>
      </w:r>
    </w:p>
    <w:p>
      <w:pPr>
        <w:spacing w:after="120"/>
      </w:pPr>
      <w:r>
        <w:rPr>
          <w:b w:val="false"/>
          <w:bCs w:val="false"/>
          <w:i w:val="false"/>
          <w:iCs w:val="false"/>
        </w:rPr>
        <w:t xml:space="preserve">The Qur'an was revealed over 23 years. After the first revelation in Cave Hira, revelation paused, causing the Prophet (pbuh) to worry, before resuming strongly and frequently.</w:t>
      </w:r>
    </w:p>
    <w:p>
      <w:pPr>
        <w:pStyle w:val="ListParagraph"/>
        <w:numPr>
          <w:ilvl w:val="0"/>
          <w:numId w:val="1"/>
        </w:numPr>
        <w:spacing w:after="60"/>
      </w:pPr>
      <w:r>
        <w:t xml:space="preserve">Sometimes the Prophet (pbuh) saw the angel in his original form (e.g. the first revelation; the Night Journey/Sura Najm).</w:t>
      </w:r>
    </w:p>
    <w:p>
      <w:pPr>
        <w:pStyle w:val="ListParagraph"/>
        <w:numPr>
          <w:ilvl w:val="0"/>
          <w:numId w:val="1"/>
        </w:numPr>
        <w:spacing w:after="60"/>
      </w:pPr>
      <w:r>
        <w:t xml:space="preserve">Sometimes Jibril appeared as a man, resembling the Companion Dihya al-Kalbi.</w:t>
      </w:r>
    </w:p>
    <w:p>
      <w:pPr>
        <w:pStyle w:val="ListParagraph"/>
        <w:numPr>
          <w:ilvl w:val="0"/>
          <w:numId w:val="1"/>
        </w:numPr>
        <w:spacing w:after="60"/>
      </w:pPr>
      <w:r>
        <w:t xml:space="preserve">Revelations came in dreams, which the Prophet (pbuh) would remember on waking.</w:t>
      </w:r>
    </w:p>
    <w:p>
      <w:pPr>
        <w:pStyle w:val="ListParagraph"/>
        <w:numPr>
          <w:ilvl w:val="0"/>
          <w:numId w:val="1"/>
        </w:numPr>
        <w:spacing w:after="60"/>
      </w:pPr>
      <w:r>
        <w:t xml:space="preserve">The most difficult mode was as the ringing of a bell — so heavy his camel could not withstand the weight, and it pressed on Zayd's thigh on one occasion.</w:t>
      </w:r>
    </w:p>
    <w:p>
      <w:pPr>
        <w:pStyle w:val="ListParagraph"/>
        <w:numPr>
          <w:ilvl w:val="0"/>
          <w:numId w:val="1"/>
        </w:numPr>
        <w:spacing w:after="60"/>
      </w:pPr>
      <w:r>
        <w:t xml:space="preserve">He would sweat in winter and shiver in summer during revelation ('Aisha's Hadith on bodily sensations).</w:t>
      </w:r>
    </w:p>
    <w:p>
      <w:pPr>
        <w:pStyle w:val="ListParagraph"/>
        <w:numPr>
          <w:ilvl w:val="0"/>
          <w:numId w:val="1"/>
        </w:numPr>
        <w:spacing w:after="60"/>
      </w:pPr>
      <w:r>
        <w:t xml:space="preserve">The timing of revelations was outside his control (Sura 75:16-19) and safeguarded by God.</w:t>
      </w:r>
    </w:p>
    <w:p>
      <w:pPr>
        <w:pStyle w:val="ListParagraph"/>
        <w:numPr>
          <w:ilvl w:val="0"/>
          <w:numId w:val="1"/>
        </w:numPr>
        <w:spacing w:after="60"/>
      </w:pPr>
      <w:r>
        <w:t xml:space="preserve">Direct revelation happened only once, on the Night Journey, when God revealed the last two verses of Sura Baqara directly.</w:t>
      </w:r>
    </w:p>
    <w:p>
      <w:pPr>
        <w:pStyle w:val="ListParagraph"/>
        <w:numPr>
          <w:ilvl w:val="0"/>
          <w:numId w:val="1"/>
        </w:numPr>
        <w:spacing w:after="60"/>
      </w:pPr>
      <w:r>
        <w:t xml:space="preserve">Some verses/suras were revealed according to specific circumstances.</w:t>
      </w:r>
    </w:p>
    <w:p>
      <w:pPr>
        <w:spacing w:after="100"/>
      </w:pPr>
      <w:r>
        <w:rPr>
          <w:b/>
          <w:bCs/>
        </w:rPr>
        <w:t xml:space="preserve">(b) Why it was important for revelation to come over a period of time</w:t>
      </w:r>
      <w:r>
        <w:rPr>
          <w:i/>
          <w:iCs/>
          <w:color w:val="555555"/>
        </w:rPr>
        <w:t xml:space="preserve">  [4 marks]</w:t>
      </w:r>
    </w:p>
    <w:p>
      <w:pPr>
        <w:pStyle w:val="ListParagraph"/>
        <w:numPr>
          <w:ilvl w:val="0"/>
          <w:numId w:val="1"/>
        </w:numPr>
        <w:spacing w:after="60"/>
      </w:pPr>
      <w:r>
        <w:t xml:space="preserve">The power and weight of the Qur'an's words made gradual revelation easier for the Prophet (pbuh) to bear.</w:t>
      </w:r>
    </w:p>
    <w:p>
      <w:pPr>
        <w:pStyle w:val="ListParagraph"/>
        <w:numPr>
          <w:ilvl w:val="0"/>
          <w:numId w:val="1"/>
        </w:numPr>
        <w:spacing w:after="60"/>
      </w:pPr>
      <w:r>
        <w:t xml:space="preserve">The physical demands of receiving revelation made spacing it out easier.</w:t>
      </w:r>
    </w:p>
    <w:p>
      <w:pPr>
        <w:pStyle w:val="ListParagraph"/>
        <w:numPr>
          <w:ilvl w:val="0"/>
          <w:numId w:val="1"/>
        </w:numPr>
        <w:spacing w:after="60"/>
      </w:pPr>
      <w:r>
        <w:t xml:space="preserve">New Muslims needed gradual change, so revelation allowed teachings to be practised before new rules arrived.</w:t>
      </w:r>
    </w:p>
    <w:p>
      <w:pPr>
        <w:pStyle w:val="ListParagraph"/>
        <w:numPr>
          <w:ilvl w:val="0"/>
          <w:numId w:val="1"/>
        </w:numPr>
        <w:spacing w:after="60"/>
      </w:pPr>
      <w:r>
        <w:t xml:space="preserve">Being revealed over time and in context meant questions from the Quraysh or Muslims could be answered through new revelation as circumstances arose.</w:t>
      </w:r>
    </w:p>
    <w:p>
      <w:pPr>
        <w:pStyle w:val="Heading2"/>
        <w:spacing w:after="120" w:before="240"/>
      </w:pPr>
      <w:r>
        <w:t xml:space="preserve">Question 3 — Patience and Self-Restraint in Makka</w:t>
      </w:r>
    </w:p>
    <w:p>
      <w:pPr>
        <w:spacing w:after="100"/>
      </w:pPr>
      <w:r>
        <w:rPr>
          <w:b/>
          <w:bCs/>
        </w:rPr>
        <w:t xml:space="preserve">(a) When the Prophet (pbuh) showed patience and self-restraint in Makka</w:t>
      </w:r>
      <w:r>
        <w:rPr>
          <w:i/>
          <w:iCs/>
          <w:color w:val="555555"/>
        </w:rPr>
        <w:t xml:space="preserve">  [10 marks]</w:t>
      </w:r>
    </w:p>
    <w:p>
      <w:pPr>
        <w:spacing w:after="120"/>
      </w:pPr>
      <w:r>
        <w:rPr>
          <w:b w:val="false"/>
          <w:bCs w:val="false"/>
          <w:i w:val="false"/>
          <w:iCs w:val="false"/>
        </w:rPr>
        <w:t xml:space="preserve">Patience is the ability to endure difficulty without complaint; self-restraint is controlling emotions and actions in the face of temptation. Examples:</w:t>
      </w:r>
    </w:p>
    <w:p>
      <w:pPr>
        <w:pStyle w:val="ListParagraph"/>
        <w:numPr>
          <w:ilvl w:val="0"/>
          <w:numId w:val="1"/>
        </w:numPr>
        <w:spacing w:after="60"/>
      </w:pPr>
      <w:r>
        <w:t xml:space="preserve">Bore his mother's death patiently as a child; avoided common vices such as drinking and gambling.</w:t>
      </w:r>
    </w:p>
    <w:p>
      <w:pPr>
        <w:pStyle w:val="ListParagraph"/>
        <w:numPr>
          <w:ilvl w:val="0"/>
          <w:numId w:val="1"/>
        </w:numPr>
        <w:spacing w:after="60"/>
      </w:pPr>
      <w:r>
        <w:t xml:space="preserve">Waited for God's guidance before preaching openly, without rushing the message.</w:t>
      </w:r>
    </w:p>
    <w:p>
      <w:pPr>
        <w:pStyle w:val="ListParagraph"/>
        <w:numPr>
          <w:ilvl w:val="0"/>
          <w:numId w:val="1"/>
        </w:numPr>
        <w:spacing w:after="60"/>
      </w:pPr>
      <w:r>
        <w:t xml:space="preserve">Bore persecution patiently, e.g. rubbish thrown on him, without retaliating or showing anger.</w:t>
      </w:r>
    </w:p>
    <w:p>
      <w:pPr>
        <w:pStyle w:val="ListParagraph"/>
        <w:numPr>
          <w:ilvl w:val="0"/>
          <w:numId w:val="1"/>
        </w:numPr>
        <w:spacing w:after="60"/>
      </w:pPr>
      <w:r>
        <w:t xml:space="preserve">Did not react when enemies disturbed his prayer, or when a camel's intestines were placed on his back while prostrating — he stayed still until his daughter removed it.</w:t>
      </w:r>
    </w:p>
    <w:p>
      <w:pPr>
        <w:pStyle w:val="ListParagraph"/>
        <w:numPr>
          <w:ilvl w:val="0"/>
          <w:numId w:val="1"/>
        </w:numPr>
        <w:spacing w:after="60"/>
      </w:pPr>
      <w:r>
        <w:t xml:space="preserve">Endured the social boycott (lack of food/water, being cut off socially and economically).</w:t>
      </w:r>
    </w:p>
    <w:p>
      <w:pPr>
        <w:pStyle w:val="ListParagraph"/>
        <w:numPr>
          <w:ilvl w:val="0"/>
          <w:numId w:val="1"/>
        </w:numPr>
        <w:spacing w:after="60"/>
      </w:pPr>
      <w:r>
        <w:t xml:space="preserve">Remained patient after losing Khadija and Abu Talib in a short period, seeking God's reward through prayer, and waited for permission to migrate despite the risk to his life.</w:t>
      </w:r>
    </w:p>
    <w:p>
      <w:pPr>
        <w:pStyle w:val="ListParagraph"/>
        <w:numPr>
          <w:ilvl w:val="0"/>
          <w:numId w:val="1"/>
        </w:numPr>
        <w:spacing w:after="60"/>
      </w:pPr>
      <w:r>
        <w:t xml:space="preserve">Showed self-restraint at Ta'if, leaving quietly rather than reacting in anger.</w:t>
      </w:r>
    </w:p>
    <w:p>
      <w:pPr>
        <w:spacing w:after="100"/>
      </w:pPr>
      <w:r>
        <w:rPr>
          <w:b/>
          <w:bCs/>
        </w:rPr>
        <w:t xml:space="preserve">(b) How Muslims can demonstrate patience and self-restraint today</w:t>
      </w:r>
      <w:r>
        <w:rPr>
          <w:i/>
          <w:iCs/>
          <w:color w:val="555555"/>
        </w:rPr>
        <w:t xml:space="preserve">  [4 marks]</w:t>
      </w:r>
    </w:p>
    <w:p>
      <w:pPr>
        <w:pStyle w:val="ListParagraph"/>
        <w:numPr>
          <w:ilvl w:val="0"/>
          <w:numId w:val="1"/>
        </w:numPr>
        <w:spacing w:after="60"/>
      </w:pPr>
      <w:r>
        <w:t xml:space="preserve">Being patient in a fast-paced world instead of expecting everything instantly.</w:t>
      </w:r>
    </w:p>
    <w:p>
      <w:pPr>
        <w:pStyle w:val="ListParagraph"/>
        <w:numPr>
          <w:ilvl w:val="0"/>
          <w:numId w:val="1"/>
        </w:numPr>
        <w:spacing w:after="60"/>
      </w:pPr>
      <w:r>
        <w:t xml:space="preserve">Showing self-restraint in waiting for something desired that cannot be provided immediately.</w:t>
      </w:r>
    </w:p>
    <w:p>
      <w:pPr>
        <w:pStyle w:val="ListParagraph"/>
        <w:numPr>
          <w:ilvl w:val="0"/>
          <w:numId w:val="1"/>
        </w:numPr>
        <w:spacing w:after="60"/>
      </w:pPr>
      <w:r>
        <w:t xml:space="preserve">Remaining calm rather than angry in situations like traffic while driving.</w:t>
      </w:r>
    </w:p>
    <w:p>
      <w:pPr>
        <w:pStyle w:val="ListParagraph"/>
        <w:numPr>
          <w:ilvl w:val="0"/>
          <w:numId w:val="1"/>
        </w:numPr>
        <w:spacing w:after="60"/>
      </w:pPr>
      <w:r>
        <w:t xml:space="preserve">Showing patience and self-restraint during tragedies, e.g. bereavement or serious illness.</w:t>
      </w:r>
    </w:p>
    <w:p>
      <w:pPr>
        <w:pStyle w:val="Heading2"/>
        <w:spacing w:after="120" w:before="240"/>
      </w:pPr>
      <w:r>
        <w:t xml:space="preserve">Question 4 — Conquest of Makka (630)</w:t>
      </w:r>
    </w:p>
    <w:p>
      <w:pPr>
        <w:spacing w:after="100"/>
      </w:pPr>
      <w:r>
        <w:rPr>
          <w:b/>
          <w:bCs/>
        </w:rPr>
        <w:t xml:space="preserve">(a) Account of the conquest of Makka</w:t>
      </w:r>
      <w:r>
        <w:rPr>
          <w:i/>
          <w:iCs/>
          <w:color w:val="555555"/>
        </w:rPr>
        <w:t xml:space="preserve">  [10 marks]</w:t>
      </w:r>
    </w:p>
    <w:p>
      <w:pPr>
        <w:spacing w:after="120"/>
      </w:pPr>
      <w:r>
        <w:rPr>
          <w:b w:val="false"/>
          <w:bCs w:val="false"/>
          <w:i w:val="false"/>
          <w:iCs w:val="false"/>
        </w:rPr>
        <w:t xml:space="preserve">The Quraysh broke the Treaty of Hudaybiyya by attacking Banu Khuza'ah, allies of the Muslims. Abu Sufyan's attempt to renew the treaty failed. The Prophet (pbuh) marched on Makka in 8AH with 10,000 soldiers. Abu Sufyan became Muslim outside Makka, and his house was declared a place of safety. Most Makkans laid down arms on his advice; a few (Safwan, Ikrimah, Suhayl) resisted. Khalid ibn Walid's column faced some resistance, causing a few deaths. The Prophet (pbuh) granted amnesty to those in Abu Sufyan's house, the Ka'ba, or their own homes. He destroyed the 360 idols in the Ka'ba, reciting: 'The truth has come, and falsehood has vanished away; surely falsehood is ever certain to vanish.' He forgave the gathered Makkans (bar nine people, including Wahshi and Hind), gave the Ka'ba's keys to 'Uthman ibn Talha, and Bilal gave the adhan from atop the Ka'ba.</w:t>
      </w:r>
    </w:p>
    <w:p>
      <w:pPr>
        <w:spacing w:after="100"/>
      </w:pPr>
      <w:r>
        <w:rPr>
          <w:b/>
          <w:bCs/>
        </w:rPr>
        <w:t xml:space="preserve">(b) Significance of the conquest for the development of Islam</w:t>
      </w:r>
      <w:r>
        <w:rPr>
          <w:i/>
          <w:iCs/>
          <w:color w:val="555555"/>
        </w:rPr>
        <w:t xml:space="preserve">  [4 marks]</w:t>
      </w:r>
    </w:p>
    <w:p>
      <w:pPr>
        <w:pStyle w:val="ListParagraph"/>
        <w:numPr>
          <w:ilvl w:val="0"/>
          <w:numId w:val="1"/>
        </w:numPr>
        <w:spacing w:after="60"/>
      </w:pPr>
      <w:r>
        <w:t xml:space="preserve">Makka, birthplace of the Prophet (pbuh) and many early Muslims, coming under Muslim control was a great achievement.</w:t>
      </w:r>
    </w:p>
    <w:p>
      <w:pPr>
        <w:pStyle w:val="ListParagraph"/>
        <w:numPr>
          <w:ilvl w:val="0"/>
          <w:numId w:val="1"/>
        </w:numPr>
        <w:spacing w:after="60"/>
      </w:pPr>
      <w:r>
        <w:t xml:space="preserve">Muslims could now freely perform hajj and umra, fulfilling that pillar of Islam.</w:t>
      </w:r>
    </w:p>
    <w:p>
      <w:pPr>
        <w:pStyle w:val="ListParagraph"/>
        <w:numPr>
          <w:ilvl w:val="0"/>
          <w:numId w:val="1"/>
        </w:numPr>
        <w:spacing w:after="60"/>
      </w:pPr>
      <w:r>
        <w:t xml:space="preserve">Established Muslim dominance over Makka and removed the Quraysh threat, freeing the Prophet (pbuh) to focus elsewhere.</w:t>
      </w:r>
    </w:p>
    <w:p>
      <w:pPr>
        <w:pStyle w:val="ListParagraph"/>
        <w:numPr>
          <w:ilvl w:val="0"/>
          <w:numId w:val="1"/>
        </w:numPr>
        <w:spacing w:after="60"/>
      </w:pPr>
      <w:r>
        <w:t xml:space="preserve">Makka becoming Muslim further strengthened Islam overall.</w:t>
      </w:r>
    </w:p>
    <w:p>
      <w:pPr>
        <w:pStyle w:val="Heading2"/>
        <w:spacing w:after="120" w:before="240"/>
      </w:pPr>
      <w:r>
        <w:t xml:space="preserve">Question 5 — Amina bint Wahb and Halima Sa'adia</w:t>
      </w:r>
    </w:p>
    <w:p>
      <w:pPr>
        <w:spacing w:after="100"/>
      </w:pPr>
      <w:r>
        <w:rPr>
          <w:b/>
          <w:bCs/>
        </w:rPr>
        <w:t xml:space="preserve">(a) Lives of Amina and Halima during their time with the Prophet (pbuh)</w:t>
      </w:r>
      <w:r>
        <w:rPr>
          <w:i/>
          <w:iCs/>
          <w:color w:val="555555"/>
        </w:rPr>
        <w:t xml:space="preserve">  [10 marks]</w:t>
      </w:r>
    </w:p>
    <w:p>
      <w:pPr>
        <w:spacing w:after="120"/>
      </w:pPr>
      <w:r>
        <w:rPr>
          <w:b/>
          <w:bCs/>
          <w:i w:val="false"/>
          <w:iCs w:val="false"/>
        </w:rPr>
        <w:t xml:space="preserve">Amina bint Wahb:</w:t>
      </w:r>
    </w:p>
    <w:p>
      <w:pPr>
        <w:spacing w:after="120"/>
      </w:pPr>
      <w:r>
        <w:rPr>
          <w:b w:val="false"/>
          <w:bCs w:val="false"/>
          <w:i w:val="false"/>
          <w:iCs w:val="false"/>
        </w:rPr>
        <w:t xml:space="preserve">Widowed a few months into marriage to 'Abdullah while pregnant; reported no hardship in pregnancy. Described a light at his birth illuminating between East and West. Sent the infant to a wet-nurse per custom; agreed for him to remain with his foster mother past age two, following the angels' visit to cleanse his heart. Took him at age six to visit family and his father's grave in Yathrib; died at Abwa on the return journey.</w:t>
      </w:r>
    </w:p>
    <w:p>
      <w:pPr>
        <w:spacing w:after="120"/>
      </w:pPr>
      <w:r>
        <w:rPr>
          <w:b/>
          <w:bCs/>
          <w:i w:val="false"/>
          <w:iCs w:val="false"/>
        </w:rPr>
        <w:t xml:space="preserve">Halima Sa'adia:</w:t>
      </w:r>
    </w:p>
    <w:p>
      <w:pPr>
        <w:spacing w:after="120"/>
      </w:pPr>
      <w:r>
        <w:rPr>
          <w:b w:val="false"/>
          <w:bCs w:val="false"/>
          <w:i w:val="false"/>
          <w:iCs w:val="false"/>
        </w:rPr>
        <w:t xml:space="preserve">The Prophet's (pbuh) wet-nurse; took him when no one else wanted to. Noticed miracles and improved fortune (increased milk, healthier animals) while caring for him, and asked to keep him beyond the initial two years due to their bond. Returned him to his mother after being shaken by the angels' visit to cleanse his heart. Later called 'my mother' by the Prophet (pbuh); received 40 sheep from Khadija on a visit to Makka. Reportedly visited Madina in her final days and was buried in Janatul Baqi.</w:t>
      </w:r>
    </w:p>
    <w:p>
      <w:pPr>
        <w:spacing w:after="100"/>
      </w:pPr>
      <w:r>
        <w:rPr>
          <w:b/>
          <w:bCs/>
        </w:rPr>
        <w:t xml:space="preserve">(b) How being raised by various people might be an example for Muslims today</w:t>
      </w:r>
      <w:r>
        <w:rPr>
          <w:i/>
          <w:iCs/>
          <w:color w:val="555555"/>
        </w:rPr>
        <w:t xml:space="preserve">  [4 marks]</w:t>
      </w:r>
    </w:p>
    <w:p>
      <w:pPr>
        <w:pStyle w:val="ListParagraph"/>
        <w:numPr>
          <w:ilvl w:val="0"/>
          <w:numId w:val="1"/>
        </w:numPr>
        <w:spacing w:after="60"/>
      </w:pPr>
      <w:r>
        <w:t xml:space="preserve">Family and care do not always require blood relations; loving care from anyone develops lifelong bonds.</w:t>
      </w:r>
    </w:p>
    <w:p>
      <w:pPr>
        <w:pStyle w:val="ListParagraph"/>
        <w:numPr>
          <w:ilvl w:val="0"/>
          <w:numId w:val="1"/>
        </w:numPr>
        <w:spacing w:after="60"/>
      </w:pPr>
      <w:r>
        <w:t xml:space="preserve">Being raised by different people can broaden perspective and learning.</w:t>
      </w:r>
    </w:p>
    <w:p>
      <w:pPr>
        <w:pStyle w:val="ListParagraph"/>
        <w:numPr>
          <w:ilvl w:val="0"/>
          <w:numId w:val="1"/>
        </w:numPr>
        <w:spacing w:after="60"/>
      </w:pPr>
      <w:r>
        <w:t xml:space="preserve">Living among people of different traits and backgrounds helps understanding of others.</w:t>
      </w:r>
    </w:p>
    <w:p>
      <w:pPr>
        <w:pStyle w:val="ListParagraph"/>
        <w:numPr>
          <w:ilvl w:val="0"/>
          <w:numId w:val="1"/>
        </w:numPr>
        <w:spacing w:after="60"/>
      </w:pPr>
      <w:r>
        <w:t xml:space="preserve">Sets an example for Muslims to look after orphans and vulnerable children, a highly meritorious act in Islam.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2"/>
      <w:szCs w:val="32"/>
    </w:rPr>
  </w:style>
  <w:style w:type="paragraph" w:styleId="Heading2">
    <w:name w:val="Heading 2"/>
    <w:basedOn w:val="Normal"/>
    <w:next w:val="Normal"/>
    <w:qFormat/>
    <w:pPr>
      <w:spacing w:after="120" w:before="240"/>
    </w:pPr>
    <w:rPr>
      <w:b/>
      <w:bCs/>
      <w:color w:val="1F3864"/>
      <w:sz w:val="27"/>
      <w:szCs w:val="27"/>
    </w:rPr>
  </w:style>
  <w:style w:type="paragraph" w:styleId="Heading3">
    <w:name w:val="Heading 3"/>
    <w:basedOn w:val="Normal"/>
    <w:next w:val="Normal"/>
    <w:qFormat/>
    <w:pPr>
      <w:spacing w:after="100" w:before="200"/>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2026-07-23T19:10:27.192Z</dcterms:created>
  <dcterms:modified xsi:type="dcterms:W3CDTF">2026-07-23T19:10:27.211Z</dcterms:modified>
</cp:coreProperties>
</file>

<file path=docProps/custom.xml><?xml version="1.0" encoding="utf-8"?>
<Properties xmlns="http://schemas.openxmlformats.org/officeDocument/2006/custom-properties" xmlns:vt="http://schemas.openxmlformats.org/officeDocument/2006/docPropsVTypes"/>
</file>