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Cambridge O Level Islamiyat (2058)</w:t>
      </w:r>
    </w:p>
    <w:p>
      <w:pPr>
        <w:spacing w:after="100"/>
        <w:jc w:val="center"/>
      </w:pPr>
      <w:r>
        <w:rPr>
          <w:color w:val="555555"/>
          <w:sz w:val="26"/>
          <w:szCs w:val="26"/>
        </w:rPr>
        <w:t xml:space="preserve">May/June 2024 — Grade Thresholds &amp; Mark Scheme Summary</w:t>
      </w:r>
    </w:p>
    <w:p>
      <w:pPr>
        <w:spacing w:after="300"/>
        <w:jc w:val="center"/>
      </w:pPr>
      <w:r>
        <w:rPr>
          <w:i/>
          <w:iCs/>
          <w:color w:val="777777"/>
          <w:sz w:val="18"/>
          <w:szCs w:val="18"/>
        </w:rPr>
        <w:t xml:space="preserve">Compiled from: Grade Thresholds (June 2024); Mark Schemes 2058/11, 2058/12 (Paper 1); 2058/21, 2058/22 (Paper 2)</w:t>
      </w:r>
    </w:p>
    <w:p>
      <w:pPr>
        <w:pStyle w:val="Heading1"/>
        <w:spacing w:after="120" w:before="240"/>
      </w:pPr>
      <w:r>
        <w:t xml:space="preserve">Grade Thresholds — June 2024</w:t>
      </w:r>
    </w:p>
    <w:p>
      <w:pPr>
        <w:spacing w:after="100"/>
      </w:pPr>
      <w:r>
        <w:rPr>
          <w:b w:val="false"/>
          <w:bCs w:val="false"/>
          <w:i/>
          <w:iCs/>
          <w:sz w:val="20"/>
          <w:szCs w:val="20"/>
        </w:rPr>
        <w:t xml:space="preserve">Minimum raw mark required for each grade, by component (maximum raw mark available: 50 per component). Grade A* does not exist at individual component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1200"/>
        <w:gridCol w:w="1200"/>
        <w:gridCol w:w="1200"/>
        <w:gridCol w:w="1200"/>
      </w:tblGrid>
      <w:tr>
        <w:tc>
          <w:tcPr>
            <w:tcW w:type="dxa" w:w="1600"/>
            <w:shd w:fill="1F3864" w:val="clear"/>
            <w:vAlign w:val="center"/>
          </w:tcPr>
          <w:p>
            <w:r>
              <w:rPr>
                <w:b/>
                <w:bCs/>
                <w:sz w:val="18"/>
                <w:szCs w:val="18"/>
              </w:rPr>
              <w:t xml:space="preserve">Component</w:t>
            </w:r>
          </w:p>
        </w:tc>
        <w:tc>
          <w:tcPr>
            <w:tcW w:type="dxa" w:w="1400"/>
            <w:shd w:fill="1F3864" w:val="clear"/>
            <w:vAlign w:val="center"/>
          </w:tcPr>
          <w:p>
            <w:r>
              <w:rPr>
                <w:b/>
                <w:bCs/>
                <w:sz w:val="18"/>
                <w:szCs w:val="18"/>
              </w:rPr>
              <w:t xml:space="preserve">Max Mark</w:t>
            </w:r>
          </w:p>
        </w:tc>
        <w:tc>
          <w:tcPr>
            <w:tcW w:type="dxa" w:w="1200"/>
            <w:shd w:fill="1F3864" w:val="clear"/>
            <w:vAlign w:val="center"/>
          </w:tcPr>
          <w:p>
            <w:r>
              <w:rPr>
                <w:b/>
                <w:bCs/>
                <w:sz w:val="18"/>
                <w:szCs w:val="18"/>
              </w:rPr>
              <w:t xml:space="preserve">A</w:t>
            </w:r>
          </w:p>
        </w:tc>
        <w:tc>
          <w:tcPr>
            <w:tcW w:type="dxa" w:w="1200"/>
            <w:shd w:fill="1F3864" w:val="clear"/>
            <w:vAlign w:val="center"/>
          </w:tcPr>
          <w:p>
            <w:r>
              <w:rPr>
                <w:b/>
                <w:bCs/>
                <w:sz w:val="18"/>
                <w:szCs w:val="18"/>
              </w:rPr>
              <w:t xml:space="preserve">B</w:t>
            </w:r>
          </w:p>
        </w:tc>
        <w:tc>
          <w:tcPr>
            <w:tcW w:type="dxa" w:w="1200"/>
            <w:shd w:fill="1F3864" w:val="clear"/>
            <w:vAlign w:val="center"/>
          </w:tcPr>
          <w:p>
            <w:r>
              <w:rPr>
                <w:b/>
                <w:bCs/>
                <w:sz w:val="18"/>
                <w:szCs w:val="18"/>
              </w:rPr>
              <w:t xml:space="preserve">C</w:t>
            </w:r>
          </w:p>
        </w:tc>
        <w:tc>
          <w:tcPr>
            <w:tcW w:type="dxa" w:w="1200"/>
            <w:shd w:fill="1F3864" w:val="clear"/>
            <w:vAlign w:val="center"/>
          </w:tcPr>
          <w:p>
            <w:r>
              <w:rPr>
                <w:b/>
                <w:bCs/>
                <w:sz w:val="18"/>
                <w:szCs w:val="18"/>
              </w:rPr>
              <w:t xml:space="preserve">D</w:t>
            </w:r>
          </w:p>
        </w:tc>
        <w:tc>
          <w:tcPr>
            <w:tcW w:type="dxa" w:w="1200"/>
            <w:shd w:fill="1F3864" w:val="clear"/>
            <w:vAlign w:val="center"/>
          </w:tcPr>
          <w:p>
            <w:r>
              <w:rPr>
                <w:b/>
                <w:bCs/>
                <w:sz w:val="18"/>
                <w:szCs w:val="18"/>
              </w:rPr>
              <w:t xml:space="preserve">E</w:t>
            </w:r>
          </w:p>
        </w:tc>
      </w:tr>
      <w:tr>
        <w:tc>
          <w:tcPr>
            <w:tcW w:type="dxa" w:w="1600"/>
            <w:vAlign w:val="center"/>
          </w:tcPr>
          <w:p>
            <w:r>
              <w:rPr>
                <w:b w:val="false"/>
                <w:bCs w:val="false"/>
                <w:sz w:val="18"/>
                <w:szCs w:val="18"/>
              </w:rPr>
              <w:t xml:space="preserve">11</w:t>
            </w:r>
          </w:p>
        </w:tc>
        <w:tc>
          <w:tcPr>
            <w:tcW w:type="dxa" w:w="1400"/>
            <w:vAlign w:val="center"/>
          </w:tcPr>
          <w:p>
            <w:r>
              <w:rPr>
                <w:b w:val="false"/>
                <w:bCs w:val="false"/>
                <w:sz w:val="18"/>
                <w:szCs w:val="18"/>
              </w:rPr>
              <w:t xml:space="preserve">50</w:t>
            </w:r>
          </w:p>
        </w:tc>
        <w:tc>
          <w:tcPr>
            <w:tcW w:type="dxa" w:w="1200"/>
            <w:vAlign w:val="center"/>
          </w:tcPr>
          <w:p>
            <w:r>
              <w:rPr>
                <w:b w:val="false"/>
                <w:bCs w:val="false"/>
                <w:sz w:val="18"/>
                <w:szCs w:val="18"/>
              </w:rPr>
              <w:t xml:space="preserve">28</w:t>
            </w:r>
          </w:p>
        </w:tc>
        <w:tc>
          <w:tcPr>
            <w:tcW w:type="dxa" w:w="1200"/>
            <w:vAlign w:val="center"/>
          </w:tcPr>
          <w:p>
            <w:r>
              <w:rPr>
                <w:b w:val="false"/>
                <w:bCs w:val="false"/>
                <w:sz w:val="18"/>
                <w:szCs w:val="18"/>
              </w:rPr>
              <w:t xml:space="preserve">24</w:t>
            </w:r>
          </w:p>
        </w:tc>
        <w:tc>
          <w:tcPr>
            <w:tcW w:type="dxa" w:w="1200"/>
            <w:vAlign w:val="center"/>
          </w:tcPr>
          <w:p>
            <w:r>
              <w:rPr>
                <w:b w:val="false"/>
                <w:bCs w:val="false"/>
                <w:sz w:val="18"/>
                <w:szCs w:val="18"/>
              </w:rPr>
              <w:t xml:space="preserve">20</w:t>
            </w:r>
          </w:p>
        </w:tc>
        <w:tc>
          <w:tcPr>
            <w:tcW w:type="dxa" w:w="1200"/>
            <w:vAlign w:val="center"/>
          </w:tcPr>
          <w:p>
            <w:r>
              <w:rPr>
                <w:b w:val="false"/>
                <w:bCs w:val="false"/>
                <w:sz w:val="18"/>
                <w:szCs w:val="18"/>
              </w:rPr>
              <w:t xml:space="preserve">18</w:t>
            </w:r>
          </w:p>
        </w:tc>
        <w:tc>
          <w:tcPr>
            <w:tcW w:type="dxa" w:w="1200"/>
            <w:vAlign w:val="center"/>
          </w:tcPr>
          <w:p>
            <w:r>
              <w:rPr>
                <w:b w:val="false"/>
                <w:bCs w:val="false"/>
                <w:sz w:val="18"/>
                <w:szCs w:val="18"/>
              </w:rPr>
              <w:t xml:space="preserve">15</w:t>
            </w:r>
          </w:p>
        </w:tc>
      </w:tr>
      <w:tr>
        <w:tc>
          <w:tcPr>
            <w:tcW w:type="dxa" w:w="1600"/>
            <w:shd w:fill="F2F2F2" w:val="clear"/>
            <w:vAlign w:val="center"/>
          </w:tcPr>
          <w:p>
            <w:r>
              <w:rPr>
                <w:b w:val="false"/>
                <w:bCs w:val="false"/>
                <w:sz w:val="18"/>
                <w:szCs w:val="18"/>
              </w:rPr>
              <w:t xml:space="preserve">12</w:t>
            </w:r>
          </w:p>
        </w:tc>
        <w:tc>
          <w:tcPr>
            <w:tcW w:type="dxa" w:w="1400"/>
            <w:shd w:fill="F2F2F2" w:val="clear"/>
            <w:vAlign w:val="center"/>
          </w:tcPr>
          <w:p>
            <w:r>
              <w:rPr>
                <w:b w:val="false"/>
                <w:bCs w:val="false"/>
                <w:sz w:val="18"/>
                <w:szCs w:val="18"/>
              </w:rPr>
              <w:t xml:space="preserve">50</w:t>
            </w:r>
          </w:p>
        </w:tc>
        <w:tc>
          <w:tcPr>
            <w:tcW w:type="dxa" w:w="1200"/>
            <w:shd w:fill="F2F2F2" w:val="clear"/>
            <w:vAlign w:val="center"/>
          </w:tcPr>
          <w:p>
            <w:r>
              <w:rPr>
                <w:b w:val="false"/>
                <w:bCs w:val="false"/>
                <w:sz w:val="18"/>
                <w:szCs w:val="18"/>
              </w:rPr>
              <w:t xml:space="preserve">32</w:t>
            </w:r>
          </w:p>
        </w:tc>
        <w:tc>
          <w:tcPr>
            <w:tcW w:type="dxa" w:w="1200"/>
            <w:shd w:fill="F2F2F2" w:val="clear"/>
            <w:vAlign w:val="center"/>
          </w:tcPr>
          <w:p>
            <w:r>
              <w:rPr>
                <w:b w:val="false"/>
                <w:bCs w:val="false"/>
                <w:sz w:val="18"/>
                <w:szCs w:val="18"/>
              </w:rPr>
              <w:t xml:space="preserve">28</w:t>
            </w:r>
          </w:p>
        </w:tc>
        <w:tc>
          <w:tcPr>
            <w:tcW w:type="dxa" w:w="1200"/>
            <w:shd w:fill="F2F2F2" w:val="clear"/>
            <w:vAlign w:val="center"/>
          </w:tcPr>
          <w:p>
            <w:r>
              <w:rPr>
                <w:b w:val="false"/>
                <w:bCs w:val="false"/>
                <w:sz w:val="18"/>
                <w:szCs w:val="18"/>
              </w:rPr>
              <w:t xml:space="preserve">24</w:t>
            </w:r>
          </w:p>
        </w:tc>
        <w:tc>
          <w:tcPr>
            <w:tcW w:type="dxa" w:w="1200"/>
            <w:shd w:fill="F2F2F2" w:val="clear"/>
            <w:vAlign w:val="center"/>
          </w:tcPr>
          <w:p>
            <w:r>
              <w:rPr>
                <w:b w:val="false"/>
                <w:bCs w:val="false"/>
                <w:sz w:val="18"/>
                <w:szCs w:val="18"/>
              </w:rPr>
              <w:t xml:space="preserve">20</w:t>
            </w:r>
          </w:p>
        </w:tc>
        <w:tc>
          <w:tcPr>
            <w:tcW w:type="dxa" w:w="1200"/>
            <w:shd w:fill="F2F2F2" w:val="clear"/>
            <w:vAlign w:val="center"/>
          </w:tcPr>
          <w:p>
            <w:r>
              <w:rPr>
                <w:b w:val="false"/>
                <w:bCs w:val="false"/>
                <w:sz w:val="18"/>
                <w:szCs w:val="18"/>
              </w:rPr>
              <w:t xml:space="preserve">16</w:t>
            </w:r>
          </w:p>
        </w:tc>
      </w:tr>
      <w:tr>
        <w:tc>
          <w:tcPr>
            <w:tcW w:type="dxa" w:w="1600"/>
            <w:vAlign w:val="center"/>
          </w:tcPr>
          <w:p>
            <w:r>
              <w:rPr>
                <w:b w:val="false"/>
                <w:bCs w:val="false"/>
                <w:sz w:val="18"/>
                <w:szCs w:val="18"/>
              </w:rPr>
              <w:t xml:space="preserve">21</w:t>
            </w:r>
          </w:p>
        </w:tc>
        <w:tc>
          <w:tcPr>
            <w:tcW w:type="dxa" w:w="1400"/>
            <w:vAlign w:val="center"/>
          </w:tcPr>
          <w:p>
            <w:r>
              <w:rPr>
                <w:b w:val="false"/>
                <w:bCs w:val="false"/>
                <w:sz w:val="18"/>
                <w:szCs w:val="18"/>
              </w:rPr>
              <w:t xml:space="preserve">50</w:t>
            </w:r>
          </w:p>
        </w:tc>
        <w:tc>
          <w:tcPr>
            <w:tcW w:type="dxa" w:w="1200"/>
            <w:vAlign w:val="center"/>
          </w:tcPr>
          <w:p>
            <w:r>
              <w:rPr>
                <w:b w:val="false"/>
                <w:bCs w:val="false"/>
                <w:sz w:val="18"/>
                <w:szCs w:val="18"/>
              </w:rPr>
              <w:t xml:space="preserve">28</w:t>
            </w:r>
          </w:p>
        </w:tc>
        <w:tc>
          <w:tcPr>
            <w:tcW w:type="dxa" w:w="1200"/>
            <w:vAlign w:val="center"/>
          </w:tcPr>
          <w:p>
            <w:r>
              <w:rPr>
                <w:b w:val="false"/>
                <w:bCs w:val="false"/>
                <w:sz w:val="18"/>
                <w:szCs w:val="18"/>
              </w:rPr>
              <w:t xml:space="preserve">23</w:t>
            </w:r>
          </w:p>
        </w:tc>
        <w:tc>
          <w:tcPr>
            <w:tcW w:type="dxa" w:w="1200"/>
            <w:vAlign w:val="center"/>
          </w:tcPr>
          <w:p>
            <w:r>
              <w:rPr>
                <w:b w:val="false"/>
                <w:bCs w:val="false"/>
                <w:sz w:val="18"/>
                <w:szCs w:val="18"/>
              </w:rPr>
              <w:t xml:space="preserve">19</w:t>
            </w:r>
          </w:p>
        </w:tc>
        <w:tc>
          <w:tcPr>
            <w:tcW w:type="dxa" w:w="1200"/>
            <w:vAlign w:val="center"/>
          </w:tcPr>
          <w:p>
            <w:r>
              <w:rPr>
                <w:b w:val="false"/>
                <w:bCs w:val="false"/>
                <w:sz w:val="18"/>
                <w:szCs w:val="18"/>
              </w:rPr>
              <w:t xml:space="preserve">15</w:t>
            </w:r>
          </w:p>
        </w:tc>
        <w:tc>
          <w:tcPr>
            <w:tcW w:type="dxa" w:w="1200"/>
            <w:vAlign w:val="center"/>
          </w:tcPr>
          <w:p>
            <w:r>
              <w:rPr>
                <w:b w:val="false"/>
                <w:bCs w:val="false"/>
                <w:sz w:val="18"/>
                <w:szCs w:val="18"/>
              </w:rPr>
              <w:t xml:space="preserve">12</w:t>
            </w:r>
          </w:p>
        </w:tc>
      </w:tr>
      <w:tr>
        <w:tc>
          <w:tcPr>
            <w:tcW w:type="dxa" w:w="1600"/>
            <w:shd w:fill="F2F2F2" w:val="clear"/>
            <w:vAlign w:val="center"/>
          </w:tcPr>
          <w:p>
            <w:r>
              <w:rPr>
                <w:b w:val="false"/>
                <w:bCs w:val="false"/>
                <w:sz w:val="18"/>
                <w:szCs w:val="18"/>
              </w:rPr>
              <w:t xml:space="preserve">22</w:t>
            </w:r>
          </w:p>
        </w:tc>
        <w:tc>
          <w:tcPr>
            <w:tcW w:type="dxa" w:w="1400"/>
            <w:shd w:fill="F2F2F2" w:val="clear"/>
            <w:vAlign w:val="center"/>
          </w:tcPr>
          <w:p>
            <w:r>
              <w:rPr>
                <w:b w:val="false"/>
                <w:bCs w:val="false"/>
                <w:sz w:val="18"/>
                <w:szCs w:val="18"/>
              </w:rPr>
              <w:t xml:space="preserve">50</w:t>
            </w:r>
          </w:p>
        </w:tc>
        <w:tc>
          <w:tcPr>
            <w:tcW w:type="dxa" w:w="1200"/>
            <w:shd w:fill="F2F2F2" w:val="clear"/>
            <w:vAlign w:val="center"/>
          </w:tcPr>
          <w:p>
            <w:r>
              <w:rPr>
                <w:b w:val="false"/>
                <w:bCs w:val="false"/>
                <w:sz w:val="18"/>
                <w:szCs w:val="18"/>
              </w:rPr>
              <w:t xml:space="preserve">29</w:t>
            </w:r>
          </w:p>
        </w:tc>
        <w:tc>
          <w:tcPr>
            <w:tcW w:type="dxa" w:w="1200"/>
            <w:shd w:fill="F2F2F2" w:val="clear"/>
            <w:vAlign w:val="center"/>
          </w:tcPr>
          <w:p>
            <w:r>
              <w:rPr>
                <w:b w:val="false"/>
                <w:bCs w:val="false"/>
                <w:sz w:val="18"/>
                <w:szCs w:val="18"/>
              </w:rPr>
              <w:t xml:space="preserve">25</w:t>
            </w:r>
          </w:p>
        </w:tc>
        <w:tc>
          <w:tcPr>
            <w:tcW w:type="dxa" w:w="1200"/>
            <w:shd w:fill="F2F2F2" w:val="clear"/>
            <w:vAlign w:val="center"/>
          </w:tcPr>
          <w:p>
            <w:r>
              <w:rPr>
                <w:b w:val="false"/>
                <w:bCs w:val="false"/>
                <w:sz w:val="18"/>
                <w:szCs w:val="18"/>
              </w:rPr>
              <w:t xml:space="preserve">21</w:t>
            </w:r>
          </w:p>
        </w:tc>
        <w:tc>
          <w:tcPr>
            <w:tcW w:type="dxa" w:w="1200"/>
            <w:shd w:fill="F2F2F2" w:val="clear"/>
            <w:vAlign w:val="center"/>
          </w:tcPr>
          <w:p>
            <w:r>
              <w:rPr>
                <w:b w:val="false"/>
                <w:bCs w:val="false"/>
                <w:sz w:val="18"/>
                <w:szCs w:val="18"/>
              </w:rPr>
              <w:t xml:space="preserve">17</w:t>
            </w:r>
          </w:p>
        </w:tc>
        <w:tc>
          <w:tcPr>
            <w:tcW w:type="dxa" w:w="1200"/>
            <w:shd w:fill="F2F2F2" w:val="clear"/>
            <w:vAlign w:val="center"/>
          </w:tcPr>
          <w:p>
            <w:r>
              <w:rPr>
                <w:b w:val="false"/>
                <w:bCs w:val="false"/>
                <w:sz w:val="18"/>
                <w:szCs w:val="18"/>
              </w:rPr>
              <w:t xml:space="preserve">14</w:t>
            </w:r>
          </w:p>
        </w:tc>
      </w:tr>
    </w:tbl>
    <w:p>
      <w:pPr>
        <w:spacing w:after="200"/>
      </w:pPr>
    </w:p>
    <w:p>
      <w:pPr>
        <w:spacing w:after="100"/>
      </w:pPr>
      <w:r>
        <w:rPr>
          <w:b w:val="false"/>
          <w:bCs w:val="false"/>
          <w:i/>
          <w:iCs/>
          <w:sz w:val="20"/>
          <w:szCs w:val="20"/>
        </w:rPr>
        <w:t xml:space="preserve">Overall thresholds after weighting (maximum mark: 100), by option/component combination: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800"/>
        <w:gridCol w:w="800"/>
        <w:gridCol w:w="800"/>
        <w:gridCol w:w="800"/>
        <w:gridCol w:w="800"/>
        <w:gridCol w:w="800"/>
      </w:tblGrid>
      <w:tr>
        <w:tc>
          <w:tcPr>
            <w:tcW w:type="dxa" w:w="1000"/>
            <w:shd w:fill="1F3864" w:val="clear"/>
            <w:vAlign w:val="center"/>
          </w:tcPr>
          <w:p>
            <w:r>
              <w:rPr>
                <w:b/>
                <w:bCs/>
                <w:sz w:val="18"/>
                <w:szCs w:val="18"/>
              </w:rPr>
              <w:t xml:space="preserve">Option</w:t>
            </w:r>
          </w:p>
        </w:tc>
        <w:tc>
          <w:tcPr>
            <w:tcW w:type="dxa" w:w="1600"/>
            <w:shd w:fill="1F3864" w:val="clear"/>
            <w:vAlign w:val="center"/>
          </w:tcPr>
          <w:p>
            <w:r>
              <w:rPr>
                <w:b/>
                <w:bCs/>
                <w:sz w:val="18"/>
                <w:szCs w:val="18"/>
              </w:rPr>
              <w:t xml:space="preserve">Max Mark (weighted)</w:t>
            </w:r>
          </w:p>
        </w:tc>
        <w:tc>
          <w:tcPr>
            <w:tcW w:type="dxa" w:w="1400"/>
            <w:shd w:fill="1F3864" w:val="clear"/>
            <w:vAlign w:val="center"/>
          </w:tcPr>
          <w:p>
            <w:r>
              <w:rPr>
                <w:b/>
                <w:bCs/>
                <w:sz w:val="18"/>
                <w:szCs w:val="18"/>
              </w:rPr>
              <w:t xml:space="preserve">Components</w:t>
            </w:r>
          </w:p>
        </w:tc>
        <w:tc>
          <w:tcPr>
            <w:tcW w:type="dxa" w:w="800"/>
            <w:shd w:fill="1F3864" w:val="clear"/>
            <w:vAlign w:val="center"/>
          </w:tcPr>
          <w:p>
            <w:r>
              <w:rPr>
                <w:b/>
                <w:bCs/>
                <w:sz w:val="18"/>
                <w:szCs w:val="18"/>
              </w:rPr>
              <w:t xml:space="preserve">A*</w:t>
            </w:r>
          </w:p>
        </w:tc>
        <w:tc>
          <w:tcPr>
            <w:tcW w:type="dxa" w:w="800"/>
            <w:shd w:fill="1F3864" w:val="clear"/>
            <w:vAlign w:val="center"/>
          </w:tcPr>
          <w:p>
            <w:r>
              <w:rPr>
                <w:b/>
                <w:bCs/>
                <w:sz w:val="18"/>
                <w:szCs w:val="18"/>
              </w:rPr>
              <w:t xml:space="preserve">A</w:t>
            </w:r>
          </w:p>
        </w:tc>
        <w:tc>
          <w:tcPr>
            <w:tcW w:type="dxa" w:w="800"/>
            <w:shd w:fill="1F3864" w:val="clear"/>
            <w:vAlign w:val="center"/>
          </w:tcPr>
          <w:p>
            <w:r>
              <w:rPr>
                <w:b/>
                <w:bCs/>
                <w:sz w:val="18"/>
                <w:szCs w:val="18"/>
              </w:rPr>
              <w:t xml:space="preserve">B</w:t>
            </w:r>
          </w:p>
        </w:tc>
        <w:tc>
          <w:tcPr>
            <w:tcW w:type="dxa" w:w="800"/>
            <w:shd w:fill="1F3864" w:val="clear"/>
            <w:vAlign w:val="center"/>
          </w:tcPr>
          <w:p>
            <w:r>
              <w:rPr>
                <w:b/>
                <w:bCs/>
                <w:sz w:val="18"/>
                <w:szCs w:val="18"/>
              </w:rPr>
              <w:t xml:space="preserve">C</w:t>
            </w:r>
          </w:p>
        </w:tc>
        <w:tc>
          <w:tcPr>
            <w:tcW w:type="dxa" w:w="800"/>
            <w:shd w:fill="1F3864" w:val="clear"/>
            <w:vAlign w:val="center"/>
          </w:tcPr>
          <w:p>
            <w:r>
              <w:rPr>
                <w:b/>
                <w:bCs/>
                <w:sz w:val="18"/>
                <w:szCs w:val="18"/>
              </w:rPr>
              <w:t xml:space="preserve">D</w:t>
            </w:r>
          </w:p>
        </w:tc>
        <w:tc>
          <w:tcPr>
            <w:tcW w:type="dxa" w:w="800"/>
            <w:shd w:fill="1F3864" w:val="clear"/>
            <w:vAlign w:val="center"/>
          </w:tcPr>
          <w:p>
            <w:r>
              <w:rPr>
                <w:b/>
                <w:bCs/>
                <w:sz w:val="18"/>
                <w:szCs w:val="18"/>
              </w:rPr>
              <w:t xml:space="preserve">E</w:t>
            </w:r>
          </w:p>
        </w:tc>
      </w:tr>
      <w:tr>
        <w:tc>
          <w:tcPr>
            <w:tcW w:type="dxa" w:w="1000"/>
            <w:vAlign w:val="center"/>
          </w:tcPr>
          <w:p>
            <w:r>
              <w:rPr>
                <w:b w:val="false"/>
                <w:bCs w:val="false"/>
                <w:sz w:val="18"/>
                <w:szCs w:val="18"/>
              </w:rPr>
              <w:t xml:space="preserve">AX</w:t>
            </w:r>
          </w:p>
        </w:tc>
        <w:tc>
          <w:tcPr>
            <w:tcW w:type="dxa" w:w="1600"/>
            <w:vAlign w:val="center"/>
          </w:tcPr>
          <w:p>
            <w:r>
              <w:rPr>
                <w:b w:val="false"/>
                <w:bCs w:val="false"/>
                <w:sz w:val="18"/>
                <w:szCs w:val="18"/>
              </w:rPr>
              <w:t xml:space="preserve">100</w:t>
            </w:r>
          </w:p>
        </w:tc>
        <w:tc>
          <w:tcPr>
            <w:tcW w:type="dxa" w:w="1400"/>
            <w:vAlign w:val="center"/>
          </w:tcPr>
          <w:p>
            <w:r>
              <w:rPr>
                <w:b w:val="false"/>
                <w:bCs w:val="false"/>
                <w:sz w:val="18"/>
                <w:szCs w:val="18"/>
              </w:rPr>
              <w:t xml:space="preserve">11, 21</w:t>
            </w:r>
          </w:p>
        </w:tc>
        <w:tc>
          <w:tcPr>
            <w:tcW w:type="dxa" w:w="800"/>
            <w:vAlign w:val="center"/>
          </w:tcPr>
          <w:p>
            <w:r>
              <w:rPr>
                <w:b w:val="false"/>
                <w:bCs w:val="false"/>
                <w:sz w:val="18"/>
                <w:szCs w:val="18"/>
              </w:rPr>
              <w:t xml:space="preserve">65</w:t>
            </w:r>
          </w:p>
        </w:tc>
        <w:tc>
          <w:tcPr>
            <w:tcW w:type="dxa" w:w="800"/>
            <w:vAlign w:val="center"/>
          </w:tcPr>
          <w:p>
            <w:r>
              <w:rPr>
                <w:b w:val="false"/>
                <w:bCs w:val="false"/>
                <w:sz w:val="18"/>
                <w:szCs w:val="18"/>
              </w:rPr>
              <w:t xml:space="preserve">56</w:t>
            </w:r>
          </w:p>
        </w:tc>
        <w:tc>
          <w:tcPr>
            <w:tcW w:type="dxa" w:w="800"/>
            <w:vAlign w:val="center"/>
          </w:tcPr>
          <w:p>
            <w:r>
              <w:rPr>
                <w:b w:val="false"/>
                <w:bCs w:val="false"/>
                <w:sz w:val="18"/>
                <w:szCs w:val="18"/>
              </w:rPr>
              <w:t xml:space="preserve">47</w:t>
            </w:r>
          </w:p>
        </w:tc>
        <w:tc>
          <w:tcPr>
            <w:tcW w:type="dxa" w:w="800"/>
            <w:vAlign w:val="center"/>
          </w:tcPr>
          <w:p>
            <w:r>
              <w:rPr>
                <w:b w:val="false"/>
                <w:bCs w:val="false"/>
                <w:sz w:val="18"/>
                <w:szCs w:val="18"/>
              </w:rPr>
              <w:t xml:space="preserve">39</w:t>
            </w:r>
          </w:p>
        </w:tc>
        <w:tc>
          <w:tcPr>
            <w:tcW w:type="dxa" w:w="800"/>
            <w:vAlign w:val="center"/>
          </w:tcPr>
          <w:p>
            <w:r>
              <w:rPr>
                <w:b w:val="false"/>
                <w:bCs w:val="false"/>
                <w:sz w:val="18"/>
                <w:szCs w:val="18"/>
              </w:rPr>
              <w:t xml:space="preserve">33</w:t>
            </w:r>
          </w:p>
        </w:tc>
        <w:tc>
          <w:tcPr>
            <w:tcW w:type="dxa" w:w="800"/>
            <w:vAlign w:val="center"/>
          </w:tcPr>
          <w:p>
            <w:r>
              <w:rPr>
                <w:b w:val="false"/>
                <w:bCs w:val="false"/>
                <w:sz w:val="18"/>
                <w:szCs w:val="18"/>
              </w:rPr>
              <w:t xml:space="preserve">27</w:t>
            </w:r>
          </w:p>
        </w:tc>
      </w:tr>
      <w:tr>
        <w:tc>
          <w:tcPr>
            <w:tcW w:type="dxa" w:w="1000"/>
            <w:shd w:fill="F2F2F2" w:val="clear"/>
            <w:vAlign w:val="center"/>
          </w:tcPr>
          <w:p>
            <w:r>
              <w:rPr>
                <w:b w:val="false"/>
                <w:bCs w:val="false"/>
                <w:sz w:val="18"/>
                <w:szCs w:val="18"/>
              </w:rPr>
              <w:t xml:space="preserve">AY</w:t>
            </w:r>
          </w:p>
        </w:tc>
        <w:tc>
          <w:tcPr>
            <w:tcW w:type="dxa" w:w="1600"/>
            <w:shd w:fill="F2F2F2" w:val="clear"/>
            <w:vAlign w:val="center"/>
          </w:tcPr>
          <w:p>
            <w:r>
              <w:rPr>
                <w:b w:val="false"/>
                <w:bCs w:val="false"/>
                <w:sz w:val="18"/>
                <w:szCs w:val="18"/>
              </w:rPr>
              <w:t xml:space="preserve">100</w:t>
            </w:r>
          </w:p>
        </w:tc>
        <w:tc>
          <w:tcPr>
            <w:tcW w:type="dxa" w:w="1400"/>
            <w:shd w:fill="F2F2F2" w:val="clear"/>
            <w:vAlign w:val="center"/>
          </w:tcPr>
          <w:p>
            <w:r>
              <w:rPr>
                <w:b w:val="false"/>
                <w:bCs w:val="false"/>
                <w:sz w:val="18"/>
                <w:szCs w:val="18"/>
              </w:rPr>
              <w:t xml:space="preserve">12, 22</w:t>
            </w:r>
          </w:p>
        </w:tc>
        <w:tc>
          <w:tcPr>
            <w:tcW w:type="dxa" w:w="800"/>
            <w:shd w:fill="F2F2F2" w:val="clear"/>
            <w:vAlign w:val="center"/>
          </w:tcPr>
          <w:p>
            <w:r>
              <w:rPr>
                <w:b w:val="false"/>
                <w:bCs w:val="false"/>
                <w:sz w:val="18"/>
                <w:szCs w:val="18"/>
              </w:rPr>
              <w:t xml:space="preserve">69</w:t>
            </w:r>
          </w:p>
        </w:tc>
        <w:tc>
          <w:tcPr>
            <w:tcW w:type="dxa" w:w="800"/>
            <w:shd w:fill="F2F2F2" w:val="clear"/>
            <w:vAlign w:val="center"/>
          </w:tcPr>
          <w:p>
            <w:r>
              <w:rPr>
                <w:b w:val="false"/>
                <w:bCs w:val="false"/>
                <w:sz w:val="18"/>
                <w:szCs w:val="18"/>
              </w:rPr>
              <w:t xml:space="preserve">61</w:t>
            </w:r>
          </w:p>
        </w:tc>
        <w:tc>
          <w:tcPr>
            <w:tcW w:type="dxa" w:w="800"/>
            <w:shd w:fill="F2F2F2" w:val="clear"/>
            <w:vAlign w:val="center"/>
          </w:tcPr>
          <w:p>
            <w:r>
              <w:rPr>
                <w:b w:val="false"/>
                <w:bCs w:val="false"/>
                <w:sz w:val="18"/>
                <w:szCs w:val="18"/>
              </w:rPr>
              <w:t xml:space="preserve">53</w:t>
            </w:r>
          </w:p>
        </w:tc>
        <w:tc>
          <w:tcPr>
            <w:tcW w:type="dxa" w:w="800"/>
            <w:shd w:fill="F2F2F2" w:val="clear"/>
            <w:vAlign w:val="center"/>
          </w:tcPr>
          <w:p>
            <w:r>
              <w:rPr>
                <w:b w:val="false"/>
                <w:bCs w:val="false"/>
                <w:sz w:val="18"/>
                <w:szCs w:val="18"/>
              </w:rPr>
              <w:t xml:space="preserve">45</w:t>
            </w:r>
          </w:p>
        </w:tc>
        <w:tc>
          <w:tcPr>
            <w:tcW w:type="dxa" w:w="800"/>
            <w:shd w:fill="F2F2F2" w:val="clear"/>
            <w:vAlign w:val="center"/>
          </w:tcPr>
          <w:p>
            <w:r>
              <w:rPr>
                <w:b w:val="false"/>
                <w:bCs w:val="false"/>
                <w:sz w:val="18"/>
                <w:szCs w:val="18"/>
              </w:rPr>
              <w:t xml:space="preserve">37</w:t>
            </w:r>
          </w:p>
        </w:tc>
        <w:tc>
          <w:tcPr>
            <w:tcW w:type="dxa" w:w="800"/>
            <w:shd w:fill="F2F2F2" w:val="clear"/>
            <w:vAlign w:val="center"/>
          </w:tcPr>
          <w:p>
            <w:r>
              <w:rPr>
                <w:b w:val="false"/>
                <w:bCs w:val="false"/>
                <w:sz w:val="18"/>
                <w:szCs w:val="18"/>
              </w:rPr>
              <w:t xml:space="preserve">30</w:t>
            </w:r>
          </w:p>
        </w:tc>
      </w:tr>
    </w:tbl>
    <w:p>
      <w:pPr>
        <w:pStyle w:val="Heading1"/>
        <w:spacing w:after="120" w:before="240"/>
      </w:pPr>
      <w:r>
        <w:t xml:space="preserve">Paper 1 (Written) — Structure &amp; Marking</w:t>
      </w:r>
    </w:p>
    <w:p>
      <w:pPr>
        <w:spacing w:after="100"/>
      </w:pPr>
      <w:r>
        <w:rPr>
          <w:b w:val="false"/>
          <w:bCs w:val="false"/>
          <w:i w:val="false"/>
          <w:iCs w:val="false"/>
          <w:sz w:val="20"/>
          <w:szCs w:val="20"/>
        </w:rPr>
        <w:t xml:space="preserve">Maximum mark: 50. Candidates answer Question 1 (compulsory, 8 marks) and Question 2 (compulsory, 14 marks), plus any two of Questions 3–5 (14 marks each). Part (a) tests AO1 (Knowledge: 4 marks in Q1, 10 marks in Q2–5); part (b) tests AO2 (Understanding: 4 marks in all questions).</w:t>
      </w:r>
    </w:p>
    <w:p>
      <w:pPr>
        <w:pStyle w:val="Heading2"/>
        <w:spacing w:after="120" w:before="240"/>
      </w:pPr>
      <w:r>
        <w:t xml:space="preserve">2058/11 — Paper 1, Variant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000"/>
        <w:gridCol w:w="1000"/>
      </w:tblGrid>
      <w:tr>
        <w:tc>
          <w:tcPr>
            <w:tcW w:type="dxa" w:w="1000"/>
            <w:shd w:fill="1F3864" w:val="clear"/>
            <w:vAlign w:val="center"/>
          </w:tcPr>
          <w:p>
            <w:r>
              <w:rPr>
                <w:b/>
                <w:bCs/>
                <w:sz w:val="18"/>
                <w:szCs w:val="18"/>
              </w:rPr>
              <w:t xml:space="preserve">Q</w:t>
            </w:r>
          </w:p>
        </w:tc>
        <w:tc>
          <w:tcPr>
            <w:tcW w:type="dxa" w:w="6600"/>
            <w:shd w:fill="1F3864" w:val="clear"/>
            <w:vAlign w:val="center"/>
          </w:tcPr>
          <w:p>
            <w:r>
              <w:rPr>
                <w:b/>
                <w:bCs/>
                <w:sz w:val="18"/>
                <w:szCs w:val="18"/>
              </w:rPr>
              <w:t xml:space="preserve">Summary of required content</w:t>
            </w:r>
          </w:p>
        </w:tc>
        <w:tc>
          <w:tcPr>
            <w:tcW w:type="dxa" w:w="1000"/>
            <w:shd w:fill="1F3864" w:val="clear"/>
            <w:vAlign w:val="center"/>
          </w:tcPr>
          <w:p>
            <w:r>
              <w:rPr>
                <w:b/>
                <w:bCs/>
                <w:sz w:val="18"/>
                <w:szCs w:val="18"/>
              </w:rPr>
              <w:t xml:space="preserve">AO</w:t>
            </w:r>
          </w:p>
        </w:tc>
        <w:tc>
          <w:tcPr>
            <w:tcW w:type="dxa" w:w="1000"/>
            <w:shd w:fill="1F3864" w:val="clear"/>
            <w:vAlign w:val="center"/>
          </w:tcPr>
          <w:p>
            <w:r>
              <w:rPr>
                <w:b/>
                <w:bCs/>
                <w:sz w:val="18"/>
                <w:szCs w:val="18"/>
              </w:rPr>
              <w:t xml:space="preserve">Marks</w:t>
            </w:r>
          </w:p>
        </w:tc>
      </w:tr>
      <w:tr>
        <w:tc>
          <w:tcPr>
            <w:tcW w:type="dxa" w:w="1000"/>
            <w:shd w:fill="F2F2F2" w:val="clear"/>
            <w:vAlign w:val="center"/>
          </w:tcPr>
          <w:p>
            <w:r>
              <w:rPr>
                <w:b w:val="false"/>
                <w:bCs w:val="false"/>
                <w:sz w:val="18"/>
                <w:szCs w:val="18"/>
              </w:rPr>
              <w:t xml:space="preserve">1(a)</w:t>
            </w:r>
          </w:p>
        </w:tc>
        <w:tc>
          <w:tcPr>
            <w:tcW w:type="dxa" w:w="6600"/>
            <w:shd w:fill="F2F2F2" w:val="clear"/>
            <w:vAlign w:val="center"/>
          </w:tcPr>
          <w:p>
            <w:r>
              <w:rPr>
                <w:b w:val="false"/>
                <w:bCs w:val="false"/>
                <w:sz w:val="18"/>
                <w:szCs w:val="18"/>
              </w:rPr>
              <w:t xml:space="preserve">Two chosen passages from Sura 96.1-5, Sura 5.110, Sura 93 – main themes: God as Creator/Provider/Generous (96.1-5, emphasis on knowledge); God's Messengers – guidance, power, support, challenges faced (5.110); God's Messengers – God's help, provision, gratitude, reassurance (93).</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4</w:t>
            </w:r>
          </w:p>
        </w:tc>
      </w:tr>
      <w:tr>
        <w:tc>
          <w:tcPr>
            <w:tcW w:type="dxa" w:w="1000"/>
            <w:vAlign w:val="center"/>
          </w:tcPr>
          <w:p>
            <w:r>
              <w:rPr>
                <w:b w:val="false"/>
                <w:bCs w:val="false"/>
                <w:sz w:val="18"/>
                <w:szCs w:val="18"/>
              </w:rPr>
              <w:t xml:space="preserve">1(b)</w:t>
            </w:r>
          </w:p>
        </w:tc>
        <w:tc>
          <w:tcPr>
            <w:tcW w:type="dxa" w:w="6600"/>
            <w:vAlign w:val="center"/>
          </w:tcPr>
          <w:p>
            <w:r>
              <w:rPr>
                <w:b w:val="false"/>
                <w:bCs w:val="false"/>
                <w:sz w:val="18"/>
                <w:szCs w:val="18"/>
              </w:rPr>
              <w:t xml:space="preserve">Importance of these themes today: seeking knowledge and gratitude to God (96.1-5); reaffirming Jesus's prophethood and God's power, remembering God through worship (5.110); reassurance that God provides in hardship, gratitude through charity and prayer (93).</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2(a)</w:t>
            </w:r>
          </w:p>
        </w:tc>
        <w:tc>
          <w:tcPr>
            <w:tcW w:type="dxa" w:w="6600"/>
            <w:shd w:fill="F2F2F2" w:val="clear"/>
            <w:vAlign w:val="center"/>
          </w:tcPr>
          <w:p>
            <w:r>
              <w:rPr>
                <w:b w:val="false"/>
                <w:bCs w:val="false"/>
                <w:sz w:val="18"/>
                <w:szCs w:val="18"/>
              </w:rPr>
              <w:t xml:space="preserve">How God describes Himself in Sura Al-An'am 6.101-103 (Oneness, no partner/son, Creator, all-powerful, all-seeing), Sura Fussilat 41.37 (Creator of sun/moon, tawhid, controller of universe), Sura Shura 42.4-5 (ownership of all things, greatness/glory, forgiveness and mercy).</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2(b)</w:t>
            </w:r>
          </w:p>
        </w:tc>
        <w:tc>
          <w:tcPr>
            <w:tcW w:type="dxa" w:w="6600"/>
            <w:vAlign w:val="center"/>
          </w:tcPr>
          <w:p>
            <w:r>
              <w:rPr>
                <w:b w:val="false"/>
                <w:bCs w:val="false"/>
                <w:sz w:val="18"/>
                <w:szCs w:val="18"/>
              </w:rPr>
              <w:t xml:space="preserve">How this knowledge helps Muslims in hardship: reassurance over sustenance, resolving doubt about God's existence, comfort when let down by people, and hope through God's forgiveness.</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3(a)</w:t>
            </w:r>
          </w:p>
        </w:tc>
        <w:tc>
          <w:tcPr>
            <w:tcW w:type="dxa" w:w="6600"/>
            <w:shd w:fill="F2F2F2" w:val="clear"/>
            <w:vAlign w:val="center"/>
          </w:tcPr>
          <w:p>
            <w:r>
              <w:rPr>
                <w:b w:val="false"/>
                <w:bCs w:val="false"/>
                <w:sz w:val="18"/>
                <w:szCs w:val="18"/>
              </w:rPr>
              <w:t xml:space="preserve">Growth of Islam in Makka from first revelation to migration: Khadija's acceptance, early converts (Abu Bakr, 'Ali, Zayd), secret preaching, public preaching at Safa, persecution, migration to Abyssinia, conversions of Hamza and 'Umar, Pledges of Aqaba leading to migration.</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3(b)</w:t>
            </w:r>
          </w:p>
        </w:tc>
        <w:tc>
          <w:tcPr>
            <w:tcW w:type="dxa" w:w="6600"/>
            <w:vAlign w:val="center"/>
          </w:tcPr>
          <w:p>
            <w:r>
              <w:rPr>
                <w:b w:val="false"/>
                <w:bCs w:val="false"/>
                <w:sz w:val="18"/>
                <w:szCs w:val="18"/>
              </w:rPr>
              <w:t xml:space="preserve">Lessons for Muslims today from early believers' struggles: perseverance in faith despite hardship, and acceptability of practising faith quietly/in secret when facing danger.</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4(a)</w:t>
            </w:r>
          </w:p>
        </w:tc>
        <w:tc>
          <w:tcPr>
            <w:tcW w:type="dxa" w:w="6600"/>
            <w:shd w:fill="F2F2F2" w:val="clear"/>
            <w:vAlign w:val="center"/>
          </w:tcPr>
          <w:p>
            <w:r>
              <w:rPr>
                <w:b w:val="false"/>
                <w:bCs w:val="false"/>
                <w:sz w:val="18"/>
                <w:szCs w:val="18"/>
              </w:rPr>
              <w:t xml:space="preserve">Account of Isra' wal-Mi'raj: night journey to Jerusalem on Buraq, leading prophets in prayer, choosing milk over wine, ascension through seven heavens meeting prophets, meeting God, receiving the five daily prayers, seeing Heaven and Hell, Quraysh's disbelief and Abu Bakr's immediate belief (Al-Siddiq).</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4(b)</w:t>
            </w:r>
          </w:p>
        </w:tc>
        <w:tc>
          <w:tcPr>
            <w:tcW w:type="dxa" w:w="6600"/>
            <w:vAlign w:val="center"/>
          </w:tcPr>
          <w:p>
            <w:r>
              <w:rPr>
                <w:b w:val="false"/>
                <w:bCs w:val="false"/>
                <w:sz w:val="18"/>
                <w:szCs w:val="18"/>
              </w:rPr>
              <w:t xml:space="preserve">How the night journey connects Muslims with God: hope of blessings after hardship, motivation from knowledge of Heaven/Hell, appreciation of the gift of the five daily prayers.</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5(a)</w:t>
            </w:r>
          </w:p>
        </w:tc>
        <w:tc>
          <w:tcPr>
            <w:tcW w:type="dxa" w:w="6600"/>
            <w:shd w:fill="F2F2F2" w:val="clear"/>
            <w:vAlign w:val="center"/>
          </w:tcPr>
          <w:p>
            <w:r>
              <w:rPr>
                <w:b w:val="false"/>
                <w:bCs w:val="false"/>
                <w:sz w:val="18"/>
                <w:szCs w:val="18"/>
              </w:rPr>
              <w:t xml:space="preserve">Conversion accounts of Abu Bakr (immediate belief, allegiance), 'Umar (initial hostility, conversion after hearing Qur'an at his sister's house), 'Uthman (heard a voice while travelling, converted via Abu Bakr), and 'Ali (raised in the Prophet's household, converted age ten).</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5(b)</w:t>
            </w:r>
          </w:p>
        </w:tc>
        <w:tc>
          <w:tcPr>
            <w:tcW w:type="dxa" w:w="6600"/>
            <w:vAlign w:val="center"/>
          </w:tcPr>
          <w:p>
            <w:r>
              <w:rPr>
                <w:b w:val="false"/>
                <w:bCs w:val="false"/>
                <w:sz w:val="18"/>
                <w:szCs w:val="18"/>
              </w:rPr>
              <w:t xml:space="preserve">What these conversions teach about challenges converts face: conversion is easier for some than others, importance of support, possible family opposition, and the need for patience with new converts.</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bl>
    <w:p>
      <w:pPr>
        <w:pStyle w:val="Heading2"/>
        <w:spacing w:after="120" w:before="240"/>
      </w:pPr>
      <w:r>
        <w:t xml:space="preserve">2058/12 — Paper 1, Variant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000"/>
        <w:gridCol w:w="1000"/>
      </w:tblGrid>
      <w:tr>
        <w:tc>
          <w:tcPr>
            <w:tcW w:type="dxa" w:w="1000"/>
            <w:shd w:fill="1F3864" w:val="clear"/>
            <w:vAlign w:val="center"/>
          </w:tcPr>
          <w:p>
            <w:r>
              <w:rPr>
                <w:b/>
                <w:bCs/>
                <w:sz w:val="18"/>
                <w:szCs w:val="18"/>
              </w:rPr>
              <w:t xml:space="preserve">Q</w:t>
            </w:r>
          </w:p>
        </w:tc>
        <w:tc>
          <w:tcPr>
            <w:tcW w:type="dxa" w:w="6600"/>
            <w:shd w:fill="1F3864" w:val="clear"/>
            <w:vAlign w:val="center"/>
          </w:tcPr>
          <w:p>
            <w:r>
              <w:rPr>
                <w:b/>
                <w:bCs/>
                <w:sz w:val="18"/>
                <w:szCs w:val="18"/>
              </w:rPr>
              <w:t xml:space="preserve">Summary of required content</w:t>
            </w:r>
          </w:p>
        </w:tc>
        <w:tc>
          <w:tcPr>
            <w:tcW w:type="dxa" w:w="1000"/>
            <w:shd w:fill="1F3864" w:val="clear"/>
            <w:vAlign w:val="center"/>
          </w:tcPr>
          <w:p>
            <w:r>
              <w:rPr>
                <w:b/>
                <w:bCs/>
                <w:sz w:val="18"/>
                <w:szCs w:val="18"/>
              </w:rPr>
              <w:t xml:space="preserve">AO</w:t>
            </w:r>
          </w:p>
        </w:tc>
        <w:tc>
          <w:tcPr>
            <w:tcW w:type="dxa" w:w="1000"/>
            <w:shd w:fill="1F3864" w:val="clear"/>
            <w:vAlign w:val="center"/>
          </w:tcPr>
          <w:p>
            <w:r>
              <w:rPr>
                <w:b/>
                <w:bCs/>
                <w:sz w:val="18"/>
                <w:szCs w:val="18"/>
              </w:rPr>
              <w:t xml:space="preserve">Marks</w:t>
            </w:r>
          </w:p>
        </w:tc>
      </w:tr>
      <w:tr>
        <w:tc>
          <w:tcPr>
            <w:tcW w:type="dxa" w:w="1000"/>
            <w:shd w:fill="F2F2F2" w:val="clear"/>
            <w:vAlign w:val="center"/>
          </w:tcPr>
          <w:p>
            <w:r>
              <w:rPr>
                <w:b w:val="false"/>
                <w:bCs w:val="false"/>
                <w:sz w:val="18"/>
                <w:szCs w:val="18"/>
              </w:rPr>
              <w:t xml:space="preserve">1(a)</w:t>
            </w:r>
          </w:p>
        </w:tc>
        <w:tc>
          <w:tcPr>
            <w:tcW w:type="dxa" w:w="6600"/>
            <w:shd w:fill="F2F2F2" w:val="clear"/>
            <w:vAlign w:val="center"/>
          </w:tcPr>
          <w:p>
            <w:r>
              <w:rPr>
                <w:b w:val="false"/>
                <w:bCs w:val="false"/>
                <w:sz w:val="18"/>
                <w:szCs w:val="18"/>
              </w:rPr>
              <w:t xml:space="preserve">Two chosen passages from Sura 2.255 (Ayat al-Kursi), Sura 114, Sura 2.30-37 – main themes: God's uniqueness, omnipotence and limitless knowledge (2.255); God's sovereignty, protection from mischief/jinn (114); God's creation of Adam as vicegerent, knowledge, guidance and forgiveness (2.30-37).</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4</w:t>
            </w:r>
          </w:p>
        </w:tc>
      </w:tr>
      <w:tr>
        <w:tc>
          <w:tcPr>
            <w:tcW w:type="dxa" w:w="1000"/>
            <w:vAlign w:val="center"/>
          </w:tcPr>
          <w:p>
            <w:r>
              <w:rPr>
                <w:b w:val="false"/>
                <w:bCs w:val="false"/>
                <w:sz w:val="18"/>
                <w:szCs w:val="18"/>
              </w:rPr>
              <w:t xml:space="preserve">1(b)</w:t>
            </w:r>
          </w:p>
        </w:tc>
        <w:tc>
          <w:tcPr>
            <w:tcW w:type="dxa" w:w="6600"/>
            <w:vAlign w:val="center"/>
          </w:tcPr>
          <w:p>
            <w:r>
              <w:rPr>
                <w:b w:val="false"/>
                <w:bCs w:val="false"/>
                <w:sz w:val="18"/>
                <w:szCs w:val="18"/>
              </w:rPr>
              <w:t xml:space="preserve">Importance of these themes today: reliance on God who never tires (2.255, ayat al-kursi recited for protection); awareness of and protection from mischief/temptation (114); humankind's connection to Adam, seeking forgiveness, message of hope after mistakes (2.30-37).</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2(a)</w:t>
            </w:r>
          </w:p>
        </w:tc>
        <w:tc>
          <w:tcPr>
            <w:tcW w:type="dxa" w:w="6600"/>
            <w:shd w:fill="F2F2F2" w:val="clear"/>
            <w:vAlign w:val="center"/>
          </w:tcPr>
          <w:p>
            <w:r>
              <w:rPr>
                <w:b w:val="false"/>
                <w:bCs w:val="false"/>
                <w:sz w:val="18"/>
                <w:szCs w:val="18"/>
              </w:rPr>
              <w:t xml:space="preserve">Compilation and standardisation of the Qur'an: written fragments and memorisation in the Prophet's lifetime; Abu Bakr's compilation after the Battle of Yamama on 'Umar's advice; Zayd ibn Thabit's meticulous verification process; manuscript passed to 'Umar then Hafsa; 'Uthman's standardisation into the Qurayshi dialect, production and distribution of five copies, destruction of variant copies ('Jami al-Qur'an').</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2(b)</w:t>
            </w:r>
          </w:p>
        </w:tc>
        <w:tc>
          <w:tcPr>
            <w:tcW w:type="dxa" w:w="6600"/>
            <w:vAlign w:val="center"/>
          </w:tcPr>
          <w:p>
            <w:r>
              <w:rPr>
                <w:b w:val="false"/>
                <w:bCs w:val="false"/>
                <w:sz w:val="18"/>
                <w:szCs w:val="18"/>
              </w:rPr>
              <w:t xml:space="preserve">Benefits of a written Qur'an: accessibility for non-memorisers, portability, translation into other languages/Braille, and online availability (though authenticity of online commentary can be harder to verify).</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3(a)</w:t>
            </w:r>
          </w:p>
        </w:tc>
        <w:tc>
          <w:tcPr>
            <w:tcW w:type="dxa" w:w="6600"/>
            <w:shd w:fill="F2F2F2" w:val="clear"/>
            <w:vAlign w:val="center"/>
          </w:tcPr>
          <w:p>
            <w:r>
              <w:rPr>
                <w:b w:val="false"/>
                <w:bCs w:val="false"/>
                <w:sz w:val="18"/>
                <w:szCs w:val="18"/>
              </w:rPr>
              <w:t xml:space="preserve">Pledges of Aqaba: initial six converts from Yathrib; First Pledge of Aqaba (621, 'pledge of women' – worship one God, no theft/adultery/infanticide, obedience); Musab ibn Umair sent to teach Islam; Second Pledge of Aqaba (73 men, 2 women – obedience, financial support, enjoining good, defending the Prophet); 'Abbas's warning; migration to Madina.</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3(b)</w:t>
            </w:r>
          </w:p>
        </w:tc>
        <w:tc>
          <w:tcPr>
            <w:tcW w:type="dxa" w:w="6600"/>
            <w:vAlign w:val="center"/>
          </w:tcPr>
          <w:p>
            <w:r>
              <w:rPr>
                <w:b w:val="false"/>
                <w:bCs w:val="false"/>
                <w:sz w:val="18"/>
                <w:szCs w:val="18"/>
              </w:rPr>
              <w:t xml:space="preserve">Best ways to welcome newcomers into the community: acceptance and understanding of different backgrounds, sharing local information, inviting them for meals, introducing children, and exchanging cultural knowledge.</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4(a)</w:t>
            </w:r>
          </w:p>
        </w:tc>
        <w:tc>
          <w:tcPr>
            <w:tcW w:type="dxa" w:w="6600"/>
            <w:shd w:fill="F2F2F2" w:val="clear"/>
            <w:vAlign w:val="center"/>
          </w:tcPr>
          <w:p>
            <w:r>
              <w:rPr>
                <w:b w:val="false"/>
                <w:bCs w:val="false"/>
                <w:sz w:val="18"/>
                <w:szCs w:val="18"/>
              </w:rPr>
              <w:t xml:space="preserve">Battle of the Trench (Khandaq): Banu Nadir's alliance with Makkans/Banu Ghatafan (10,000 troops) against 3,000 Muslims; Salman al-Farsi's trench strategy; hypocrites' withdrawal and Banu Qurayza's betrayal; hardship and miracles; 'Ali repelling attackers; Nu'aym ibn Mas'ud sowing mistrust; the Quraysh's retreat after a three-day storm; punishment of Banu Qurayza.</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4(b)</w:t>
            </w:r>
          </w:p>
        </w:tc>
        <w:tc>
          <w:tcPr>
            <w:tcW w:type="dxa" w:w="6600"/>
            <w:vAlign w:val="center"/>
          </w:tcPr>
          <w:p>
            <w:r>
              <w:rPr>
                <w:b w:val="false"/>
                <w:bCs w:val="false"/>
                <w:sz w:val="18"/>
                <w:szCs w:val="18"/>
              </w:rPr>
              <w:t xml:space="preserve">Leadership lessons from the Battle of the Trench: taking advice from others (consulting Salman al-Farsi), leading by example/getting involved, and using appropriate strategy and diplomacy in difficult situations.</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5(a)</w:t>
            </w:r>
          </w:p>
        </w:tc>
        <w:tc>
          <w:tcPr>
            <w:tcW w:type="dxa" w:w="6600"/>
            <w:shd w:fill="F2F2F2" w:val="clear"/>
            <w:vAlign w:val="center"/>
          </w:tcPr>
          <w:p>
            <w:r>
              <w:rPr>
                <w:b w:val="false"/>
                <w:bCs w:val="false"/>
                <w:sz w:val="18"/>
                <w:szCs w:val="18"/>
              </w:rPr>
              <w:t xml:space="preserve">Lives of three of: 'Umar (conversion story, protection of the Prophet, witness to Hudaybiyya), Talha ('the Living Martyr' at Uhud), Zubayr (persecuted by his uncle, migrated to Abyssinia, commander at Badr), 'Abd al-Rahman ibn Awf (early convert, successful merchant, generous donor at Tabuk), and Sa'd ibn Abi Waqqas (mother's hunger strike, skilled archer at Uhud).</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5(b)</w:t>
            </w:r>
          </w:p>
        </w:tc>
        <w:tc>
          <w:tcPr>
            <w:tcW w:type="dxa" w:w="6600"/>
            <w:vAlign w:val="center"/>
          </w:tcPr>
          <w:p>
            <w:r>
              <w:rPr>
                <w:b w:val="false"/>
                <w:bCs w:val="false"/>
                <w:sz w:val="18"/>
                <w:szCs w:val="18"/>
              </w:rPr>
              <w:t xml:space="preserve">What the Companions' conversions show about challenges faced by converts: conversion difficulty varies between individuals, the need for support, possible family opposition, and the need for patience with new Muslims adapting to the faith.</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bl>
    <w:p>
      <w:pPr>
        <w:pStyle w:val="Heading1"/>
        <w:spacing w:after="120" w:before="240"/>
      </w:pPr>
      <w:r>
        <w:t xml:space="preserve">Paper 2 (Written) — Structure &amp; Marking</w:t>
      </w:r>
    </w:p>
    <w:p>
      <w:pPr>
        <w:spacing w:after="100"/>
      </w:pPr>
      <w:r>
        <w:rPr>
          <w:b w:val="false"/>
          <w:bCs w:val="false"/>
          <w:i w:val="false"/>
          <w:iCs w:val="false"/>
          <w:sz w:val="20"/>
          <w:szCs w:val="20"/>
        </w:rPr>
        <w:t xml:space="preserve">Maximum mark: 50. Same structure as Paper 1: Question 1 (compulsory, 8 marks) and Question 2 (compulsory, 14 marks), plus any two of Questions 3–5 (14 marks each). Part (a) = AO1 Knowledge; part (b) = AO2 Understanding.</w:t>
      </w:r>
    </w:p>
    <w:p>
      <w:pPr>
        <w:pStyle w:val="Heading2"/>
        <w:spacing w:after="120" w:before="240"/>
      </w:pPr>
      <w:r>
        <w:t xml:space="preserve">2058/21 — Paper 2, Variant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000"/>
        <w:gridCol w:w="1000"/>
      </w:tblGrid>
      <w:tr>
        <w:tc>
          <w:tcPr>
            <w:tcW w:type="dxa" w:w="1000"/>
            <w:shd w:fill="1F3864" w:val="clear"/>
            <w:vAlign w:val="center"/>
          </w:tcPr>
          <w:p>
            <w:r>
              <w:rPr>
                <w:b/>
                <w:bCs/>
                <w:sz w:val="18"/>
                <w:szCs w:val="18"/>
              </w:rPr>
              <w:t xml:space="preserve">Q</w:t>
            </w:r>
          </w:p>
        </w:tc>
        <w:tc>
          <w:tcPr>
            <w:tcW w:type="dxa" w:w="6600"/>
            <w:shd w:fill="1F3864" w:val="clear"/>
            <w:vAlign w:val="center"/>
          </w:tcPr>
          <w:p>
            <w:r>
              <w:rPr>
                <w:b/>
                <w:bCs/>
                <w:sz w:val="18"/>
                <w:szCs w:val="18"/>
              </w:rPr>
              <w:t xml:space="preserve">Summary of required content</w:t>
            </w:r>
          </w:p>
        </w:tc>
        <w:tc>
          <w:tcPr>
            <w:tcW w:type="dxa" w:w="1000"/>
            <w:shd w:fill="1F3864" w:val="clear"/>
            <w:vAlign w:val="center"/>
          </w:tcPr>
          <w:p>
            <w:r>
              <w:rPr>
                <w:b/>
                <w:bCs/>
                <w:sz w:val="18"/>
                <w:szCs w:val="18"/>
              </w:rPr>
              <w:t xml:space="preserve">AO</w:t>
            </w:r>
          </w:p>
        </w:tc>
        <w:tc>
          <w:tcPr>
            <w:tcW w:type="dxa" w:w="1000"/>
            <w:shd w:fill="1F3864" w:val="clear"/>
            <w:vAlign w:val="center"/>
          </w:tcPr>
          <w:p>
            <w:r>
              <w:rPr>
                <w:b/>
                <w:bCs/>
                <w:sz w:val="18"/>
                <w:szCs w:val="18"/>
              </w:rPr>
              <w:t xml:space="preserve">Marks</w:t>
            </w:r>
          </w:p>
        </w:tc>
      </w:tr>
      <w:tr>
        <w:tc>
          <w:tcPr>
            <w:tcW w:type="dxa" w:w="1000"/>
            <w:shd w:fill="F2F2F2" w:val="clear"/>
            <w:vAlign w:val="center"/>
          </w:tcPr>
          <w:p>
            <w:r>
              <w:rPr>
                <w:b w:val="false"/>
                <w:bCs w:val="false"/>
                <w:sz w:val="18"/>
                <w:szCs w:val="18"/>
              </w:rPr>
              <w:t xml:space="preserve">1(a)</w:t>
            </w:r>
          </w:p>
        </w:tc>
        <w:tc>
          <w:tcPr>
            <w:tcW w:type="dxa" w:w="6600"/>
            <w:shd w:fill="F2F2F2" w:val="clear"/>
            <w:vAlign w:val="center"/>
          </w:tcPr>
          <w:p>
            <w:r>
              <w:rPr>
                <w:b w:val="false"/>
                <w:bCs w:val="false"/>
                <w:sz w:val="18"/>
                <w:szCs w:val="18"/>
              </w:rPr>
              <w:t xml:space="preserve">Two chosen Hadiths on belief: mercy to others as a condition for God's mercy (#15); helping widows/the poor equated with worship (#10); studying the Qur'an regularly, likened to tethered camels (#13); everyday acts (justice, kindness, charity, removing harm) as charity (#5).</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4</w:t>
            </w:r>
          </w:p>
        </w:tc>
      </w:tr>
      <w:tr>
        <w:tc>
          <w:tcPr>
            <w:tcW w:type="dxa" w:w="1000"/>
            <w:vAlign w:val="center"/>
          </w:tcPr>
          <w:p>
            <w:r>
              <w:rPr>
                <w:b w:val="false"/>
                <w:bCs w:val="false"/>
                <w:sz w:val="18"/>
                <w:szCs w:val="18"/>
              </w:rPr>
              <w:t xml:space="preserve">1(b)</w:t>
            </w:r>
          </w:p>
        </w:tc>
        <w:tc>
          <w:tcPr>
            <w:tcW w:type="dxa" w:w="6600"/>
            <w:vAlign w:val="center"/>
          </w:tcPr>
          <w:p>
            <w:r>
              <w:rPr>
                <w:b w:val="false"/>
                <w:bCs w:val="false"/>
                <w:sz w:val="18"/>
                <w:szCs w:val="18"/>
              </w:rPr>
              <w:t xml:space="preserve">Putting these teachings into practice: showing compassion/forgiveness (following the Prophet's example at Ta'if and the conquest of Makka); charitable acts and community welfare (e.g., Abu Bakr milking a blind widow's goats); daily engagement with the Qur'an; everyday kindnesses such as removing hazards or giving good advice.</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2(a)</w:t>
            </w:r>
          </w:p>
        </w:tc>
        <w:tc>
          <w:tcPr>
            <w:tcW w:type="dxa" w:w="6600"/>
            <w:shd w:fill="F2F2F2" w:val="clear"/>
            <w:vAlign w:val="center"/>
          </w:tcPr>
          <w:p>
            <w:r>
              <w:rPr>
                <w:b w:val="false"/>
                <w:bCs w:val="false"/>
                <w:sz w:val="18"/>
                <w:szCs w:val="18"/>
              </w:rPr>
              <w:t xml:space="preserve">Isnad and matn as the two components of Hadith; isnad as the chain of narrators requiring firm faith, honesty, sound memory and exact reporting; matn as the text/content, which must align with the Qur'an, common sense, and other accepted Hadiths.</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2(b)</w:t>
            </w:r>
          </w:p>
        </w:tc>
        <w:tc>
          <w:tcPr>
            <w:tcW w:type="dxa" w:w="6600"/>
            <w:vAlign w:val="center"/>
          </w:tcPr>
          <w:p>
            <w:r>
              <w:rPr>
                <w:b w:val="false"/>
                <w:bCs w:val="false"/>
                <w:sz w:val="18"/>
                <w:szCs w:val="18"/>
              </w:rPr>
              <w:t xml:space="preserve">Reasons compilation of Hadiths became necessary: need for religious/political guidance after the Rightly Guided Caliphs, unrest and forged Hadiths during periods of conflict, and the need to distinguish authentic from false narrations.</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3(a)</w:t>
            </w:r>
          </w:p>
        </w:tc>
        <w:tc>
          <w:tcPr>
            <w:tcW w:type="dxa" w:w="6600"/>
            <w:shd w:fill="F2F2F2" w:val="clear"/>
            <w:vAlign w:val="center"/>
          </w:tcPr>
          <w:p>
            <w:r>
              <w:rPr>
                <w:b w:val="false"/>
                <w:bCs w:val="false"/>
                <w:sz w:val="18"/>
                <w:szCs w:val="18"/>
              </w:rPr>
              <w:t xml:space="preserve">'Umar's administrative policies: establishment of the diwan (revenue department); consultation via Majlis-e-Shura/Majlis-e-Aam; division of the empire into provinces under governors (Wali) and sub-divisions under Amils; separation of judiciary (qadis); new departments (police, education); town planning, canals, cantonments, and the Islamic (hijri) calendar.</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3(b)</w:t>
            </w:r>
          </w:p>
        </w:tc>
        <w:tc>
          <w:tcPr>
            <w:tcW w:type="dxa" w:w="6600"/>
            <w:vAlign w:val="center"/>
          </w:tcPr>
          <w:p>
            <w:r>
              <w:rPr>
                <w:b w:val="false"/>
                <w:bCs w:val="false"/>
                <w:sz w:val="18"/>
                <w:szCs w:val="18"/>
              </w:rPr>
              <w:t xml:space="preserve">Opinion on 'Umar's greatest achievement: either his administrative reforms (justice, provincial governance, democratic consultation) or his military expansion (territorial gains, wealth from conquest and jizya benefiting the umma).</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4(a)</w:t>
            </w:r>
          </w:p>
        </w:tc>
        <w:tc>
          <w:tcPr>
            <w:tcW w:type="dxa" w:w="6600"/>
            <w:shd w:fill="F2F2F2" w:val="clear"/>
            <w:vAlign w:val="center"/>
          </w:tcPr>
          <w:p>
            <w:r>
              <w:rPr>
                <w:b w:val="false"/>
                <w:bCs w:val="false"/>
                <w:sz w:val="18"/>
                <w:szCs w:val="18"/>
              </w:rPr>
              <w:t xml:space="preserve">Battle of the Camel (656): Talha and Zubayr's and 'Aisha's demand for justice for 'Uthman's blood; failed negotiations sabotaged by agitators; chaotic dawn battle; deaths of Talha and Zubayr; 'Aisha's camel brought into the battlefield and eventually brought down to end the fighting; 'Ali's victory.</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4(b)</w:t>
            </w:r>
          </w:p>
        </w:tc>
        <w:tc>
          <w:tcPr>
            <w:tcW w:type="dxa" w:w="6600"/>
            <w:vAlign w:val="center"/>
          </w:tcPr>
          <w:p>
            <w:r>
              <w:rPr>
                <w:b w:val="false"/>
                <w:bCs w:val="false"/>
                <w:sz w:val="18"/>
                <w:szCs w:val="18"/>
              </w:rPr>
              <w:t xml:space="preserve">Impact of the Battle of the Camel on 'Ali's caliphate: broke the unity of the umma (first Muslim civil war), challenged 'Ali's authority, forced relocation of the capital to Kufa, and caused ongoing political instability.</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5(a)</w:t>
            </w:r>
          </w:p>
        </w:tc>
        <w:tc>
          <w:tcPr>
            <w:tcW w:type="dxa" w:w="6600"/>
            <w:shd w:fill="F2F2F2" w:val="clear"/>
            <w:vAlign w:val="center"/>
          </w:tcPr>
          <w:p>
            <w:r>
              <w:rPr>
                <w:b w:val="false"/>
                <w:bCs w:val="false"/>
                <w:sz w:val="18"/>
                <w:szCs w:val="18"/>
              </w:rPr>
              <w:t xml:space="preserve">Muslim belief in prophets (Articles of Faith, moral/intellectual superiority, miracles, shared message, humanity, prophetic line from Adam to Muhammad) and divine books (Suhuf of Ibrahim, Torah, Psalms, Gospel, Qur'an – earlier scriptures altered or lost, only the Qur'an preserved intact).</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5(b)</w:t>
            </w:r>
          </w:p>
        </w:tc>
        <w:tc>
          <w:tcPr>
            <w:tcW w:type="dxa" w:w="6600"/>
            <w:vAlign w:val="center"/>
          </w:tcPr>
          <w:p>
            <w:r>
              <w:rPr>
                <w:b w:val="false"/>
                <w:bCs w:val="false"/>
                <w:sz w:val="18"/>
                <w:szCs w:val="18"/>
              </w:rPr>
              <w:t xml:space="preserve">Why belief in all prophets matters: all sent by God (Qur'an 2:285 – no distinction made), teaches respect and religious tolerance, and reinforces belief in Muhammad as the final prophet who completed the message.</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bl>
    <w:p>
      <w:pPr>
        <w:pStyle w:val="Heading2"/>
        <w:spacing w:after="120" w:before="240"/>
      </w:pPr>
      <w:r>
        <w:t xml:space="preserve">2058/22 — Paper 2, Variant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000"/>
        <w:gridCol w:w="1000"/>
      </w:tblGrid>
      <w:tr>
        <w:tc>
          <w:tcPr>
            <w:tcW w:type="dxa" w:w="1000"/>
            <w:shd w:fill="1F3864" w:val="clear"/>
            <w:vAlign w:val="center"/>
          </w:tcPr>
          <w:p>
            <w:r>
              <w:rPr>
                <w:b/>
                <w:bCs/>
                <w:sz w:val="18"/>
                <w:szCs w:val="18"/>
              </w:rPr>
              <w:t xml:space="preserve">Q</w:t>
            </w:r>
          </w:p>
        </w:tc>
        <w:tc>
          <w:tcPr>
            <w:tcW w:type="dxa" w:w="6600"/>
            <w:shd w:fill="1F3864" w:val="clear"/>
            <w:vAlign w:val="center"/>
          </w:tcPr>
          <w:p>
            <w:r>
              <w:rPr>
                <w:b/>
                <w:bCs/>
                <w:sz w:val="18"/>
                <w:szCs w:val="18"/>
              </w:rPr>
              <w:t xml:space="preserve">Summary of required content</w:t>
            </w:r>
          </w:p>
        </w:tc>
        <w:tc>
          <w:tcPr>
            <w:tcW w:type="dxa" w:w="1000"/>
            <w:shd w:fill="1F3864" w:val="clear"/>
            <w:vAlign w:val="center"/>
          </w:tcPr>
          <w:p>
            <w:r>
              <w:rPr>
                <w:b/>
                <w:bCs/>
                <w:sz w:val="18"/>
                <w:szCs w:val="18"/>
              </w:rPr>
              <w:t xml:space="preserve">AO</w:t>
            </w:r>
          </w:p>
        </w:tc>
        <w:tc>
          <w:tcPr>
            <w:tcW w:type="dxa" w:w="1000"/>
            <w:shd w:fill="1F3864" w:val="clear"/>
            <w:vAlign w:val="center"/>
          </w:tcPr>
          <w:p>
            <w:r>
              <w:rPr>
                <w:b/>
                <w:bCs/>
                <w:sz w:val="18"/>
                <w:szCs w:val="18"/>
              </w:rPr>
              <w:t xml:space="preserve">Marks</w:t>
            </w:r>
          </w:p>
        </w:tc>
      </w:tr>
      <w:tr>
        <w:tc>
          <w:tcPr>
            <w:tcW w:type="dxa" w:w="1000"/>
            <w:shd w:fill="F2F2F2" w:val="clear"/>
            <w:vAlign w:val="center"/>
          </w:tcPr>
          <w:p>
            <w:r>
              <w:rPr>
                <w:b w:val="false"/>
                <w:bCs w:val="false"/>
                <w:sz w:val="18"/>
                <w:szCs w:val="18"/>
              </w:rPr>
              <w:t xml:space="preserve">1(a)</w:t>
            </w:r>
          </w:p>
        </w:tc>
        <w:tc>
          <w:tcPr>
            <w:tcW w:type="dxa" w:w="6600"/>
            <w:shd w:fill="F2F2F2" w:val="clear"/>
            <w:vAlign w:val="center"/>
          </w:tcPr>
          <w:p>
            <w:r>
              <w:rPr>
                <w:b w:val="false"/>
                <w:bCs w:val="false"/>
                <w:sz w:val="18"/>
                <w:szCs w:val="18"/>
              </w:rPr>
              <w:t xml:space="preserve">Two chosen Hadiths on belief: earning a living through honest hard work is blessed (#9); kindness in buying, selling, and debt-recovery (#14); striving in God's way with person and property (#7); gentle, just governance without alienating people (#12).</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4</w:t>
            </w:r>
          </w:p>
        </w:tc>
      </w:tr>
      <w:tr>
        <w:tc>
          <w:tcPr>
            <w:tcW w:type="dxa" w:w="1000"/>
            <w:vAlign w:val="center"/>
          </w:tcPr>
          <w:p>
            <w:r>
              <w:rPr>
                <w:b w:val="false"/>
                <w:bCs w:val="false"/>
                <w:sz w:val="18"/>
                <w:szCs w:val="18"/>
              </w:rPr>
              <w:t xml:space="preserve">1(b)</w:t>
            </w:r>
          </w:p>
        </w:tc>
        <w:tc>
          <w:tcPr>
            <w:tcW w:type="dxa" w:w="6600"/>
            <w:vAlign w:val="center"/>
          </w:tcPr>
          <w:p>
            <w:r>
              <w:rPr>
                <w:b w:val="false"/>
                <w:bCs w:val="false"/>
                <w:sz w:val="18"/>
                <w:szCs w:val="18"/>
              </w:rPr>
              <w:t xml:space="preserve">Putting these teachings into practice: earning one's livelihood honestly (following the Prophet's example of manual labour); fair and generous business dealings (e.g., 'Uthman's generosity in trade); striving through worship, charity, or education; rulers exercising fairness and gentleness in authority.</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2(a)</w:t>
            </w:r>
          </w:p>
        </w:tc>
        <w:tc>
          <w:tcPr>
            <w:tcW w:type="dxa" w:w="6600"/>
            <w:shd w:fill="F2F2F2" w:val="clear"/>
            <w:vAlign w:val="center"/>
          </w:tcPr>
          <w:p>
            <w:r>
              <w:rPr>
                <w:b w:val="false"/>
                <w:bCs w:val="false"/>
                <w:sz w:val="18"/>
                <w:szCs w:val="18"/>
              </w:rPr>
              <w:t xml:space="preserve">Qiyas (analogy) as the fourth source of Islamic law: comparing a new matter to an existing ruling using asl (root), far' (new matter), 'illa (connecting link) to reach a hukm (ruling); example of the prohibition of khamr extended by analogy to all intoxicants.</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2(b)</w:t>
            </w:r>
          </w:p>
        </w:tc>
        <w:tc>
          <w:tcPr>
            <w:tcW w:type="dxa" w:w="6600"/>
            <w:vAlign w:val="center"/>
          </w:tcPr>
          <w:p>
            <w:r>
              <w:rPr>
                <w:b w:val="false"/>
                <w:bCs w:val="false"/>
                <w:sz w:val="18"/>
                <w:szCs w:val="18"/>
              </w:rPr>
              <w:t xml:space="preserve">Reasons some Muslims are reluctant to use qiyas: reliance on individual/subjective judgment not directly from revelation or communal agreement, a concern shared particularly by some Shi'a Muslims.</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3(a)</w:t>
            </w:r>
          </w:p>
        </w:tc>
        <w:tc>
          <w:tcPr>
            <w:tcW w:type="dxa" w:w="6600"/>
            <w:shd w:fill="F2F2F2" w:val="clear"/>
            <w:vAlign w:val="center"/>
          </w:tcPr>
          <w:p>
            <w:r>
              <w:rPr>
                <w:b w:val="false"/>
                <w:bCs w:val="false"/>
                <w:sz w:val="18"/>
                <w:szCs w:val="18"/>
              </w:rPr>
              <w:t xml:space="preserve">The four false prophets defeated under Abu Bakr: Aswad al-Ansi (Yemen, defeated by Firuz), Tulayha (Banu Asad, defeated by Khalid ibn al-Walid, later reconverted to Islam), Sajah (Christian soothsayer who allied with and married Musailimah), and Musailimah ibn al-Kadhdhab (defeated at the Battle of Yamama, 632).</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3(b)</w:t>
            </w:r>
          </w:p>
        </w:tc>
        <w:tc>
          <w:tcPr>
            <w:tcW w:type="dxa" w:w="6600"/>
            <w:vAlign w:val="center"/>
          </w:tcPr>
          <w:p>
            <w:r>
              <w:rPr>
                <w:b w:val="false"/>
                <w:bCs w:val="false"/>
                <w:sz w:val="18"/>
                <w:szCs w:val="18"/>
              </w:rPr>
              <w:t xml:space="preserve">Why Abu Bakr challenged tribes refusing zakat: zakat is a fundamental Pillar instituted by God that cannot be selectively abandoned, and maintaining unity and consistency of belief/practice within the Muslim community was essential.</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4(a)</w:t>
            </w:r>
          </w:p>
        </w:tc>
        <w:tc>
          <w:tcPr>
            <w:tcW w:type="dxa" w:w="6600"/>
            <w:shd w:fill="F2F2F2" w:val="clear"/>
            <w:vAlign w:val="center"/>
          </w:tcPr>
          <w:p>
            <w:r>
              <w:rPr>
                <w:b w:val="false"/>
                <w:bCs w:val="false"/>
                <w:sz w:val="18"/>
                <w:szCs w:val="18"/>
              </w:rPr>
              <w:t xml:space="preserve">Battles of Buwayb (635, avenging the Battle of the Bridge, Persian commander Mehran killed, southern Iraq secured) and Qadisiyyah (636, Sa'd ibn Abi Waqqas commanding from his sickbed, Rustam killed, decisive Muslim victory that broke Persian strength).</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4(b)</w:t>
            </w:r>
          </w:p>
        </w:tc>
        <w:tc>
          <w:tcPr>
            <w:tcW w:type="dxa" w:w="6600"/>
            <w:vAlign w:val="center"/>
          </w:tcPr>
          <w:p>
            <w:r>
              <w:rPr>
                <w:b w:val="false"/>
                <w:bCs w:val="false"/>
                <w:sz w:val="18"/>
                <w:szCs w:val="18"/>
              </w:rPr>
              <w:t xml:space="preserve">What 'Umar's actions at the conquest of Jerusalem reveal about his character: humility (sharing a camel with his slave, accepting terms of personal attendance), religious tolerance (declining to pray inside the church), and fair-mindedness toward Christians and Jews.</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r>
        <w:tc>
          <w:tcPr>
            <w:tcW w:type="dxa" w:w="1000"/>
            <w:shd w:fill="F2F2F2" w:val="clear"/>
            <w:vAlign w:val="center"/>
          </w:tcPr>
          <w:p>
            <w:r>
              <w:rPr>
                <w:b w:val="false"/>
                <w:bCs w:val="false"/>
                <w:sz w:val="18"/>
                <w:szCs w:val="18"/>
              </w:rPr>
              <w:t xml:space="preserve">5(a)</w:t>
            </w:r>
          </w:p>
        </w:tc>
        <w:tc>
          <w:tcPr>
            <w:tcW w:type="dxa" w:w="6600"/>
            <w:shd w:fill="F2F2F2" w:val="clear"/>
            <w:vAlign w:val="center"/>
          </w:tcPr>
          <w:p>
            <w:r>
              <w:rPr>
                <w:b w:val="false"/>
                <w:bCs w:val="false"/>
                <w:sz w:val="18"/>
                <w:szCs w:val="18"/>
              </w:rPr>
              <w:t xml:space="preserve">Qada (missed) prayers – completing a valid fard prayer later when missed for a valid reason – and the importance of prayer as a Pillar of Islam that strengthens faith, brings closeness to God, and puts daily life in perspective of the Hereafter.</w:t>
            </w:r>
          </w:p>
        </w:tc>
        <w:tc>
          <w:tcPr>
            <w:tcW w:type="dxa" w:w="1000"/>
            <w:shd w:fill="F2F2F2" w:val="clear"/>
            <w:vAlign w:val="center"/>
          </w:tcPr>
          <w:p>
            <w:r>
              <w:rPr>
                <w:b w:val="false"/>
                <w:bCs w:val="false"/>
                <w:sz w:val="18"/>
                <w:szCs w:val="18"/>
              </w:rPr>
              <w:t xml:space="preserve">AO1</w:t>
            </w:r>
          </w:p>
        </w:tc>
        <w:tc>
          <w:tcPr>
            <w:tcW w:type="dxa" w:w="1000"/>
            <w:shd w:fill="F2F2F2" w:val="clear"/>
            <w:vAlign w:val="center"/>
          </w:tcPr>
          <w:p>
            <w:r>
              <w:rPr>
                <w:b w:val="false"/>
                <w:bCs w:val="false"/>
                <w:sz w:val="18"/>
                <w:szCs w:val="18"/>
              </w:rPr>
              <w:t xml:space="preserve">10</w:t>
            </w:r>
          </w:p>
        </w:tc>
      </w:tr>
      <w:tr>
        <w:tc>
          <w:tcPr>
            <w:tcW w:type="dxa" w:w="1000"/>
            <w:vAlign w:val="center"/>
          </w:tcPr>
          <w:p>
            <w:r>
              <w:rPr>
                <w:b w:val="false"/>
                <w:bCs w:val="false"/>
                <w:sz w:val="18"/>
                <w:szCs w:val="18"/>
              </w:rPr>
              <w:t xml:space="preserve">5(b)</w:t>
            </w:r>
          </w:p>
        </w:tc>
        <w:tc>
          <w:tcPr>
            <w:tcW w:type="dxa" w:w="6600"/>
            <w:vAlign w:val="center"/>
          </w:tcPr>
          <w:p>
            <w:r>
              <w:rPr>
                <w:b w:val="false"/>
                <w:bCs w:val="false"/>
                <w:sz w:val="18"/>
                <w:szCs w:val="18"/>
              </w:rPr>
              <w:t xml:space="preserve">Why wudu (purification) before prayer is important: spiritual and physical cleansing before meeting God, focusing the mind before prayer, and obedience to a direct command from God.</w:t>
            </w:r>
          </w:p>
        </w:tc>
        <w:tc>
          <w:tcPr>
            <w:tcW w:type="dxa" w:w="1000"/>
            <w:vAlign w:val="center"/>
          </w:tcPr>
          <w:p>
            <w:r>
              <w:rPr>
                <w:b w:val="false"/>
                <w:bCs w:val="false"/>
                <w:sz w:val="18"/>
                <w:szCs w:val="18"/>
              </w:rPr>
              <w:t xml:space="preserve">AO2</w:t>
            </w:r>
          </w:p>
        </w:tc>
        <w:tc>
          <w:tcPr>
            <w:tcW w:type="dxa" w:w="1000"/>
            <w:vAlign w:val="center"/>
          </w:tcPr>
          <w:p>
            <w:r>
              <w:rPr>
                <w:b w:val="false"/>
                <w:bCs w:val="false"/>
                <w:sz w:val="18"/>
                <w:szCs w:val="18"/>
              </w:rPr>
              <w:t xml:space="preserve">4</w:t>
            </w:r>
          </w:p>
        </w:tc>
      </w:tr>
    </w:tbl>
    <w:p>
      <w:pPr>
        <w:pStyle w:val="Heading1"/>
        <w:spacing w:after="120" w:before="240"/>
      </w:pPr>
      <w:r>
        <w:t xml:space="preserve">AO1 Levels of Response (Knowledge — part (a))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000"/>
        <w:gridCol w:w="1000"/>
      </w:tblGrid>
      <w:tr>
        <w:tc>
          <w:tcPr>
            <w:tcW w:type="dxa" w:w="1000"/>
            <w:shd w:fill="1F3864" w:val="clear"/>
            <w:vAlign w:val="center"/>
          </w:tcPr>
          <w:p>
            <w:r>
              <w:rPr>
                <w:b/>
                <w:bCs/>
                <w:sz w:val="18"/>
                <w:szCs w:val="18"/>
              </w:rPr>
              <w:t xml:space="preserve">Q</w:t>
            </w:r>
          </w:p>
        </w:tc>
        <w:tc>
          <w:tcPr>
            <w:tcW w:type="dxa" w:w="6600"/>
            <w:shd w:fill="1F3864" w:val="clear"/>
            <w:vAlign w:val="center"/>
          </w:tcPr>
          <w:p>
            <w:r>
              <w:rPr>
                <w:b/>
                <w:bCs/>
                <w:sz w:val="18"/>
                <w:szCs w:val="18"/>
              </w:rPr>
              <w:t xml:space="preserve">Summary of required content</w:t>
            </w:r>
          </w:p>
        </w:tc>
        <w:tc>
          <w:tcPr>
            <w:tcW w:type="dxa" w:w="1000"/>
            <w:shd w:fill="1F3864" w:val="clear"/>
            <w:vAlign w:val="center"/>
          </w:tcPr>
          <w:p>
            <w:r>
              <w:rPr>
                <w:b/>
                <w:bCs/>
                <w:sz w:val="18"/>
                <w:szCs w:val="18"/>
              </w:rPr>
              <w:t xml:space="preserve">AO</w:t>
            </w:r>
          </w:p>
        </w:tc>
        <w:tc>
          <w:tcPr>
            <w:tcW w:type="dxa" w:w="1000"/>
            <w:shd w:fill="1F3864" w:val="clear"/>
            <w:vAlign w:val="center"/>
          </w:tcPr>
          <w:p>
            <w:r>
              <w:rPr>
                <w:b/>
                <w:bCs/>
                <w:sz w:val="18"/>
                <w:szCs w:val="18"/>
              </w:rPr>
              <w:t xml:space="preserve">Marks</w:t>
            </w:r>
          </w:p>
        </w:tc>
      </w:tr>
      <w:tr>
        <w:tc>
          <w:tcPr>
            <w:tcW w:type="dxa" w:w="1000"/>
            <w:shd w:fill="F2F2F2" w:val="clear"/>
            <w:vAlign w:val="center"/>
          </w:tcPr>
          <w:p>
            <w:r>
              <w:rPr>
                <w:b w:val="false"/>
                <w:bCs w:val="false"/>
                <w:sz w:val="18"/>
                <w:szCs w:val="18"/>
              </w:rPr>
              <w:t xml:space="preserve">L4</w:t>
            </w:r>
          </w:p>
        </w:tc>
        <w:tc>
          <w:tcPr>
            <w:tcW w:type="dxa" w:w="6600"/>
            <w:shd w:fill="F2F2F2" w:val="clear"/>
            <w:vAlign w:val="center"/>
          </w:tcPr>
          <w:p>
            <w:r>
              <w:rPr>
                <w:b w:val="false"/>
                <w:bCs w:val="false"/>
                <w:sz w:val="18"/>
                <w:szCs w:val="18"/>
              </w:rPr>
              <w:t xml:space="preserve">Well-structured, clear, comprehensive; extensive and accurate knowledge; detailed, well-developed points; likely to quote Qur'an/Hadith.</w:t>
            </w:r>
          </w:p>
        </w:tc>
        <w:tc>
          <w:tcPr>
            <w:tcW w:type="dxa" w:w="1000"/>
            <w:shd w:fill="F2F2F2" w:val="clear"/>
            <w:vAlign w:val="center"/>
          </w:tcPr>
          <w:p>
            <w:r>
              <w:rPr>
                <w:b w:val="false"/>
                <w:bCs w:val="false"/>
                <w:sz w:val="18"/>
                <w:szCs w:val="18"/>
              </w:rPr>
              <w:t xml:space="preserve">8-10 / 4</w:t>
            </w:r>
          </w:p>
        </w:tc>
        <w:tc>
          <w:tcPr>
            <w:tcW w:type="dxa" w:w="1000"/>
            <w:shd w:fill="F2F2F2" w:val="clear"/>
            <w:vAlign w:val="center"/>
          </w:tcPr>
          <w:p>
            <w:r>
              <w:rPr>
                <w:b w:val="false"/>
                <w:bCs w:val="false"/>
                <w:sz w:val="18"/>
                <w:szCs w:val="18"/>
              </w:rPr>
              <w:t xml:space="preserve">-</w:t>
            </w:r>
          </w:p>
        </w:tc>
      </w:tr>
      <w:tr>
        <w:tc>
          <w:tcPr>
            <w:tcW w:type="dxa" w:w="1000"/>
            <w:vAlign w:val="center"/>
          </w:tcPr>
          <w:p>
            <w:r>
              <w:rPr>
                <w:b w:val="false"/>
                <w:bCs w:val="false"/>
                <w:sz w:val="18"/>
                <w:szCs w:val="18"/>
              </w:rPr>
              <w:t xml:space="preserve">L3</w:t>
            </w:r>
          </w:p>
        </w:tc>
        <w:tc>
          <w:tcPr>
            <w:tcW w:type="dxa" w:w="6600"/>
            <w:vAlign w:val="center"/>
          </w:tcPr>
          <w:p>
            <w:r>
              <w:rPr>
                <w:b w:val="false"/>
                <w:bCs w:val="false"/>
                <w:sz w:val="18"/>
                <w:szCs w:val="18"/>
              </w:rPr>
              <w:t xml:space="preserve">Well-structured and clear; sound accurate knowledge; points elaborated and generally accurate; may quote Qur'an/Hadith.</w:t>
            </w:r>
          </w:p>
        </w:tc>
        <w:tc>
          <w:tcPr>
            <w:tcW w:type="dxa" w:w="1000"/>
            <w:vAlign w:val="center"/>
          </w:tcPr>
          <w:p>
            <w:r>
              <w:rPr>
                <w:b w:val="false"/>
                <w:bCs w:val="false"/>
                <w:sz w:val="18"/>
                <w:szCs w:val="18"/>
              </w:rPr>
              <w:t xml:space="preserve">5-7 / 3</w:t>
            </w:r>
          </w:p>
        </w:tc>
        <w:tc>
          <w:tcPr>
            <w:tcW w:type="dxa" w:w="1000"/>
            <w:vAlign w:val="center"/>
          </w:tcPr>
          <w:p>
            <w:r>
              <w:rPr>
                <w:b w:val="false"/>
                <w:bCs w:val="false"/>
                <w:sz w:val="18"/>
                <w:szCs w:val="18"/>
              </w:rPr>
              <w:t xml:space="preserve">-</w:t>
            </w:r>
          </w:p>
        </w:tc>
      </w:tr>
      <w:tr>
        <w:tc>
          <w:tcPr>
            <w:tcW w:type="dxa" w:w="1000"/>
            <w:shd w:fill="F2F2F2" w:val="clear"/>
            <w:vAlign w:val="center"/>
          </w:tcPr>
          <w:p>
            <w:r>
              <w:rPr>
                <w:b w:val="false"/>
                <w:bCs w:val="false"/>
                <w:sz w:val="18"/>
                <w:szCs w:val="18"/>
              </w:rPr>
              <w:t xml:space="preserve">L2</w:t>
            </w:r>
          </w:p>
        </w:tc>
        <w:tc>
          <w:tcPr>
            <w:tcW w:type="dxa" w:w="6600"/>
            <w:shd w:fill="F2F2F2" w:val="clear"/>
            <w:vAlign w:val="center"/>
          </w:tcPr>
          <w:p>
            <w:r>
              <w:rPr>
                <w:b w:val="false"/>
                <w:bCs w:val="false"/>
                <w:sz w:val="18"/>
                <w:szCs w:val="18"/>
              </w:rPr>
              <w:t xml:space="preserve">An attempt at structure; lacks cohesion or undeveloped; some knowledge covering main points without detail.</w:t>
            </w:r>
          </w:p>
        </w:tc>
        <w:tc>
          <w:tcPr>
            <w:tcW w:type="dxa" w:w="1000"/>
            <w:shd w:fill="F2F2F2" w:val="clear"/>
            <w:vAlign w:val="center"/>
          </w:tcPr>
          <w:p>
            <w:r>
              <w:rPr>
                <w:b w:val="false"/>
                <w:bCs w:val="false"/>
                <w:sz w:val="18"/>
                <w:szCs w:val="18"/>
              </w:rPr>
              <w:t xml:space="preserve">3-4 / 2</w:t>
            </w:r>
          </w:p>
        </w:tc>
        <w:tc>
          <w:tcPr>
            <w:tcW w:type="dxa" w:w="1000"/>
            <w:shd w:fill="F2F2F2" w:val="clear"/>
            <w:vAlign w:val="center"/>
          </w:tcPr>
          <w:p>
            <w:r>
              <w:rPr>
                <w:b w:val="false"/>
                <w:bCs w:val="false"/>
                <w:sz w:val="18"/>
                <w:szCs w:val="18"/>
              </w:rPr>
              <w:t xml:space="preserve">-</w:t>
            </w:r>
          </w:p>
        </w:tc>
      </w:tr>
      <w:tr>
        <w:tc>
          <w:tcPr>
            <w:tcW w:type="dxa" w:w="1000"/>
            <w:vAlign w:val="center"/>
          </w:tcPr>
          <w:p>
            <w:r>
              <w:rPr>
                <w:b w:val="false"/>
                <w:bCs w:val="false"/>
                <w:sz w:val="18"/>
                <w:szCs w:val="18"/>
              </w:rPr>
              <w:t xml:space="preserve">L1</w:t>
            </w:r>
          </w:p>
        </w:tc>
        <w:tc>
          <w:tcPr>
            <w:tcW w:type="dxa" w:w="6600"/>
            <w:vAlign w:val="center"/>
          </w:tcPr>
          <w:p>
            <w:r>
              <w:rPr>
                <w:b w:val="false"/>
                <w:bCs w:val="false"/>
                <w:sz w:val="18"/>
                <w:szCs w:val="18"/>
              </w:rPr>
              <w:t xml:space="preserve">Some attempt to answer; lacks cohesion and structure; limited knowledge; little connection to the question.</w:t>
            </w:r>
          </w:p>
        </w:tc>
        <w:tc>
          <w:tcPr>
            <w:tcW w:type="dxa" w:w="1000"/>
            <w:vAlign w:val="center"/>
          </w:tcPr>
          <w:p>
            <w:r>
              <w:rPr>
                <w:b w:val="false"/>
                <w:bCs w:val="false"/>
                <w:sz w:val="18"/>
                <w:szCs w:val="18"/>
              </w:rPr>
              <w:t xml:space="preserve">1-2 / 1</w:t>
            </w:r>
          </w:p>
        </w:tc>
        <w:tc>
          <w:tcPr>
            <w:tcW w:type="dxa" w:w="1000"/>
            <w:vAlign w:val="center"/>
          </w:tcPr>
          <w:p>
            <w:r>
              <w:rPr>
                <w:b w:val="false"/>
                <w:bCs w:val="false"/>
                <w:sz w:val="18"/>
                <w:szCs w:val="18"/>
              </w:rPr>
              <w:t xml:space="preserve">-</w:t>
            </w:r>
          </w:p>
        </w:tc>
      </w:tr>
      <w:tr>
        <w:tc>
          <w:tcPr>
            <w:tcW w:type="dxa" w:w="1000"/>
            <w:shd w:fill="F2F2F2" w:val="clear"/>
            <w:vAlign w:val="center"/>
          </w:tcPr>
          <w:p>
            <w:r>
              <w:rPr>
                <w:b w:val="false"/>
                <w:bCs w:val="false"/>
                <w:sz w:val="18"/>
                <w:szCs w:val="18"/>
              </w:rPr>
              <w:t xml:space="preserve">L0</w:t>
            </w:r>
          </w:p>
        </w:tc>
        <w:tc>
          <w:tcPr>
            <w:tcW w:type="dxa" w:w="6600"/>
            <w:shd w:fill="F2F2F2" w:val="clear"/>
            <w:vAlign w:val="center"/>
          </w:tcPr>
          <w:p>
            <w:r>
              <w:rPr>
                <w:b w:val="false"/>
                <w:bCs w:val="false"/>
                <w:sz w:val="18"/>
                <w:szCs w:val="18"/>
              </w:rPr>
              <w:t xml:space="preserve">No creditable content.</w:t>
            </w:r>
          </w:p>
        </w:tc>
        <w:tc>
          <w:tcPr>
            <w:tcW w:type="dxa" w:w="1000"/>
            <w:shd w:fill="F2F2F2" w:val="clear"/>
            <w:vAlign w:val="center"/>
          </w:tcPr>
          <w:p>
            <w:r>
              <w:rPr>
                <w:b w:val="false"/>
                <w:bCs w:val="false"/>
                <w:sz w:val="18"/>
                <w:szCs w:val="18"/>
              </w:rPr>
              <w:t xml:space="preserve">0</w:t>
            </w:r>
          </w:p>
        </w:tc>
        <w:tc>
          <w:tcPr>
            <w:tcW w:type="dxa" w:w="1000"/>
            <w:shd w:fill="F2F2F2" w:val="clear"/>
            <w:vAlign w:val="center"/>
          </w:tcPr>
          <w:p>
            <w:r>
              <w:rPr>
                <w:b w:val="false"/>
                <w:bCs w:val="false"/>
                <w:sz w:val="18"/>
                <w:szCs w:val="18"/>
              </w:rPr>
              <w:t xml:space="preserve">-</w:t>
            </w:r>
          </w:p>
        </w:tc>
      </w:tr>
    </w:tbl>
    <w:p>
      <w:pPr>
        <w:pStyle w:val="Heading1"/>
        <w:spacing w:after="120" w:before="240"/>
      </w:pPr>
      <w:r>
        <w:t xml:space="preserve">AO2 Levels of Response (Understanding — part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6600"/>
        <w:gridCol w:w="1000"/>
        <w:gridCol w:w="1000"/>
      </w:tblGrid>
      <w:tr>
        <w:tc>
          <w:tcPr>
            <w:tcW w:type="dxa" w:w="1000"/>
            <w:shd w:fill="1F3864" w:val="clear"/>
            <w:vAlign w:val="center"/>
          </w:tcPr>
          <w:p>
            <w:r>
              <w:rPr>
                <w:b/>
                <w:bCs/>
                <w:sz w:val="18"/>
                <w:szCs w:val="18"/>
              </w:rPr>
              <w:t xml:space="preserve">Q</w:t>
            </w:r>
          </w:p>
        </w:tc>
        <w:tc>
          <w:tcPr>
            <w:tcW w:type="dxa" w:w="6600"/>
            <w:shd w:fill="1F3864" w:val="clear"/>
            <w:vAlign w:val="center"/>
          </w:tcPr>
          <w:p>
            <w:r>
              <w:rPr>
                <w:b/>
                <w:bCs/>
                <w:sz w:val="18"/>
                <w:szCs w:val="18"/>
              </w:rPr>
              <w:t xml:space="preserve">Summary of required content</w:t>
            </w:r>
          </w:p>
        </w:tc>
        <w:tc>
          <w:tcPr>
            <w:tcW w:type="dxa" w:w="1000"/>
            <w:shd w:fill="1F3864" w:val="clear"/>
            <w:vAlign w:val="center"/>
          </w:tcPr>
          <w:p>
            <w:r>
              <w:rPr>
                <w:b/>
                <w:bCs/>
                <w:sz w:val="18"/>
                <w:szCs w:val="18"/>
              </w:rPr>
              <w:t xml:space="preserve">AO</w:t>
            </w:r>
          </w:p>
        </w:tc>
        <w:tc>
          <w:tcPr>
            <w:tcW w:type="dxa" w:w="1000"/>
            <w:shd w:fill="1F3864" w:val="clear"/>
            <w:vAlign w:val="center"/>
          </w:tcPr>
          <w:p>
            <w:r>
              <w:rPr>
                <w:b/>
                <w:bCs/>
                <w:sz w:val="18"/>
                <w:szCs w:val="18"/>
              </w:rPr>
              <w:t xml:space="preserve">Marks</w:t>
            </w:r>
          </w:p>
        </w:tc>
      </w:tr>
      <w:tr>
        <w:tc>
          <w:tcPr>
            <w:tcW w:type="dxa" w:w="1000"/>
            <w:shd w:fill="F2F2F2" w:val="clear"/>
            <w:vAlign w:val="center"/>
          </w:tcPr>
          <w:p>
            <w:r>
              <w:rPr>
                <w:b w:val="false"/>
                <w:bCs w:val="false"/>
                <w:sz w:val="18"/>
                <w:szCs w:val="18"/>
              </w:rPr>
              <w:t xml:space="preserve">L2</w:t>
            </w:r>
          </w:p>
        </w:tc>
        <w:tc>
          <w:tcPr>
            <w:tcW w:type="dxa" w:w="6600"/>
            <w:shd w:fill="F2F2F2" w:val="clear"/>
            <w:vAlign w:val="center"/>
          </w:tcPr>
          <w:p>
            <w:r>
              <w:rPr>
                <w:b w:val="false"/>
                <w:bCs w:val="false"/>
                <w:sz w:val="18"/>
                <w:szCs w:val="18"/>
              </w:rPr>
              <w:t xml:space="preserve">Clear understanding of the question; uses own opinions to engage and present reasoning demonstrating understanding.</w:t>
            </w:r>
          </w:p>
        </w:tc>
        <w:tc>
          <w:tcPr>
            <w:tcW w:type="dxa" w:w="1000"/>
            <w:shd w:fill="F2F2F2" w:val="clear"/>
            <w:vAlign w:val="center"/>
          </w:tcPr>
          <w:p>
            <w:r>
              <w:rPr>
                <w:b w:val="false"/>
                <w:bCs w:val="false"/>
                <w:sz w:val="18"/>
                <w:szCs w:val="18"/>
              </w:rPr>
              <w:t xml:space="preserve">3-4</w:t>
            </w:r>
          </w:p>
        </w:tc>
        <w:tc>
          <w:tcPr>
            <w:tcW w:type="dxa" w:w="1000"/>
            <w:shd w:fill="F2F2F2" w:val="clear"/>
            <w:vAlign w:val="center"/>
          </w:tcPr>
          <w:p>
            <w:r>
              <w:rPr>
                <w:b w:val="false"/>
                <w:bCs w:val="false"/>
                <w:sz w:val="18"/>
                <w:szCs w:val="18"/>
              </w:rPr>
              <w:t xml:space="preserve">-</w:t>
            </w:r>
          </w:p>
        </w:tc>
      </w:tr>
      <w:tr>
        <w:tc>
          <w:tcPr>
            <w:tcW w:type="dxa" w:w="1000"/>
            <w:vAlign w:val="center"/>
          </w:tcPr>
          <w:p>
            <w:r>
              <w:rPr>
                <w:b w:val="false"/>
                <w:bCs w:val="false"/>
                <w:sz w:val="18"/>
                <w:szCs w:val="18"/>
              </w:rPr>
              <w:t xml:space="preserve">L1</w:t>
            </w:r>
          </w:p>
        </w:tc>
        <w:tc>
          <w:tcPr>
            <w:tcW w:type="dxa" w:w="6600"/>
            <w:vAlign w:val="center"/>
          </w:tcPr>
          <w:p>
            <w:r>
              <w:rPr>
                <w:b w:val="false"/>
                <w:bCs w:val="false"/>
                <w:sz w:val="18"/>
                <w:szCs w:val="18"/>
              </w:rPr>
              <w:t xml:space="preserve">Some understanding; descriptive/factual references with limited discussion of the material.</w:t>
            </w:r>
          </w:p>
        </w:tc>
        <w:tc>
          <w:tcPr>
            <w:tcW w:type="dxa" w:w="1000"/>
            <w:vAlign w:val="center"/>
          </w:tcPr>
          <w:p>
            <w:r>
              <w:rPr>
                <w:b w:val="false"/>
                <w:bCs w:val="false"/>
                <w:sz w:val="18"/>
                <w:szCs w:val="18"/>
              </w:rPr>
              <w:t xml:space="preserve">1-2</w:t>
            </w:r>
          </w:p>
        </w:tc>
        <w:tc>
          <w:tcPr>
            <w:tcW w:type="dxa" w:w="1000"/>
            <w:vAlign w:val="center"/>
          </w:tcPr>
          <w:p>
            <w:r>
              <w:rPr>
                <w:b w:val="false"/>
                <w:bCs w:val="false"/>
                <w:sz w:val="18"/>
                <w:szCs w:val="18"/>
              </w:rPr>
              <w:t xml:space="preserve">-</w:t>
            </w:r>
          </w:p>
        </w:tc>
      </w:tr>
      <w:tr>
        <w:tc>
          <w:tcPr>
            <w:tcW w:type="dxa" w:w="1000"/>
            <w:shd w:fill="F2F2F2" w:val="clear"/>
            <w:vAlign w:val="center"/>
          </w:tcPr>
          <w:p>
            <w:r>
              <w:rPr>
                <w:b w:val="false"/>
                <w:bCs w:val="false"/>
                <w:sz w:val="18"/>
                <w:szCs w:val="18"/>
              </w:rPr>
              <w:t xml:space="preserve">L0</w:t>
            </w:r>
          </w:p>
        </w:tc>
        <w:tc>
          <w:tcPr>
            <w:tcW w:type="dxa" w:w="6600"/>
            <w:shd w:fill="F2F2F2" w:val="clear"/>
            <w:vAlign w:val="center"/>
          </w:tcPr>
          <w:p>
            <w:r>
              <w:rPr>
                <w:b w:val="false"/>
                <w:bCs w:val="false"/>
                <w:sz w:val="18"/>
                <w:szCs w:val="18"/>
              </w:rPr>
              <w:t xml:space="preserve">No creditable content.</w:t>
            </w:r>
          </w:p>
        </w:tc>
        <w:tc>
          <w:tcPr>
            <w:tcW w:type="dxa" w:w="1000"/>
            <w:shd w:fill="F2F2F2" w:val="clear"/>
            <w:vAlign w:val="center"/>
          </w:tcPr>
          <w:p>
            <w:r>
              <w:rPr>
                <w:b w:val="false"/>
                <w:bCs w:val="false"/>
                <w:sz w:val="18"/>
                <w:szCs w:val="18"/>
              </w:rPr>
              <w:t xml:space="preserve">0</w:t>
            </w:r>
          </w:p>
        </w:tc>
        <w:tc>
          <w:tcPr>
            <w:tcW w:type="dxa" w:w="1000"/>
            <w:shd w:fill="F2F2F2" w:val="clear"/>
            <w:vAlign w:val="center"/>
          </w:tcPr>
          <w:p>
            <w:r>
              <w:rPr>
                <w:b w:val="false"/>
                <w:bCs w:val="false"/>
                <w:sz w:val="18"/>
                <w:szCs w:val="18"/>
              </w:rPr>
              <w:t xml:space="preserv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2026-07-23T19:15:53.286Z</dcterms:created>
  <dcterms:modified xsi:type="dcterms:W3CDTF">2026-07-23T19:15:53.298Z</dcterms:modified>
</cp:coreProperties>
</file>

<file path=docProps/custom.xml><?xml version="1.0" encoding="utf-8"?>
<Properties xmlns="http://schemas.openxmlformats.org/officeDocument/2006/custom-properties" xmlns:vt="http://schemas.openxmlformats.org/officeDocument/2006/docPropsVTypes"/>
</file>