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2A44"/>
          <w:sz w:val="44"/>
          <w:szCs w:val="44"/>
        </w:rPr>
        <w:t xml:space="preserve">Cambridge O Level Islamiyat (2058)</w:t>
      </w:r>
    </w:p>
    <w:p>
      <w:pPr>
        <w:spacing w:after="100"/>
        <w:jc w:val="center"/>
      </w:pPr>
      <w:r>
        <w:rPr>
          <w:sz w:val="32"/>
          <w:szCs w:val="32"/>
        </w:rPr>
        <w:t xml:space="preserve">June 2022 Examination Series</w:t>
      </w:r>
    </w:p>
    <w:p>
      <w:pPr>
        <w:spacing w:after="400"/>
        <w:jc w:val="center"/>
      </w:pPr>
      <w:r>
        <w:rPr>
          <w:i/>
          <w:iCs/>
          <w:sz w:val="24"/>
          <w:szCs w:val="24"/>
        </w:rPr>
        <w:t xml:space="preserve">Extracted Data: Grade Thresholds, Examiner Reports &amp; Mark Schemes</w:t>
      </w:r>
    </w:p>
    <w:p>
      <w:pPr>
        <w:jc w:val="center"/>
      </w:pPr>
      <w:r>
        <w:rPr>
          <w:sz w:val="22"/>
          <w:szCs w:val="22"/>
        </w:rPr>
        <w:t xml:space="preserve">Papers 11, 12, 21, 22</w:t>
      </w:r>
    </w:p>
    <w:p>
      <w:r>
        <w:br w:type="page"/>
      </w:r>
    </w:p>
    <w:p>
      <w:pPr>
        <w:pStyle w:val="Heading1"/>
        <w:spacing w:after="150" w:before="300"/>
      </w:pPr>
      <w:r>
        <w:t xml:space="preserve">Grade Thresholds — June 2022</w:t>
      </w:r>
    </w:p>
    <w:p>
      <w:pPr>
        <w:spacing w:after="100"/>
      </w:pPr>
      <w:r>
        <w:t xml:space="preserve">Minimum raw mark required for each grade, by component (maximum raw mark available: 50 per component).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200"/>
        <w:gridCol w:w="1200"/>
        <w:gridCol w:w="1200"/>
        <w:gridCol w:w="1200"/>
        <w:gridCol w:w="1200"/>
      </w:tblGrid>
      <w:tr>
        <w:tc>
          <w:tcPr>
            <w:tcW w:type="dxa" w:w="1800"/>
            <w:shd w:fill="1F2A44" w:val="clear"/>
          </w:tcPr>
          <w:p>
            <w:r>
              <w:rPr>
                <w:b/>
                <w:bCs/>
                <w:color w:val="FFFFFF"/>
              </w:rPr>
              <w:t xml:space="preserve">Component</w:t>
            </w:r>
          </w:p>
        </w:tc>
        <w:tc>
          <w:tcPr>
            <w:tcW w:type="dxa" w:w="1500"/>
            <w:shd w:fill="1F2A44" w:val="clear"/>
          </w:tcPr>
          <w:p>
            <w:r>
              <w:rPr>
                <w:b/>
                <w:bCs/>
                <w:color w:val="FFFFFF"/>
              </w:rPr>
              <w:t xml:space="preserve">Max Mark</w:t>
            </w:r>
          </w:p>
        </w:tc>
        <w:tc>
          <w:tcPr>
            <w:tcW w:type="dxa" w:w="1200"/>
            <w:shd w:fill="1F2A44" w:val="clear"/>
          </w:tcPr>
          <w:p>
            <w:r>
              <w:rPr>
                <w:b/>
                <w:bCs/>
                <w:color w:val="FFFFFF"/>
              </w:rPr>
              <w:t xml:space="preserve">A</w:t>
            </w:r>
          </w:p>
        </w:tc>
        <w:tc>
          <w:tcPr>
            <w:tcW w:type="dxa" w:w="1200"/>
            <w:shd w:fill="1F2A44" w:val="clear"/>
          </w:tcPr>
          <w:p>
            <w:r>
              <w:rPr>
                <w:b/>
                <w:bCs/>
                <w:color w:val="FFFFFF"/>
              </w:rPr>
              <w:t xml:space="preserve">B</w:t>
            </w:r>
          </w:p>
        </w:tc>
        <w:tc>
          <w:tcPr>
            <w:tcW w:type="dxa" w:w="1200"/>
            <w:shd w:fill="1F2A44" w:val="clear"/>
          </w:tcPr>
          <w:p>
            <w:r>
              <w:rPr>
                <w:b/>
                <w:bCs/>
                <w:color w:val="FFFFFF"/>
              </w:rPr>
              <w:t xml:space="preserve">C</w:t>
            </w:r>
          </w:p>
        </w:tc>
        <w:tc>
          <w:tcPr>
            <w:tcW w:type="dxa" w:w="1200"/>
            <w:shd w:fill="1F2A44" w:val="clear"/>
          </w:tcPr>
          <w:p>
            <w:r>
              <w:rPr>
                <w:b/>
                <w:bCs/>
                <w:color w:val="FFFFFF"/>
              </w:rPr>
              <w:t xml:space="preserve">D</w:t>
            </w:r>
          </w:p>
        </w:tc>
        <w:tc>
          <w:tcPr>
            <w:tcW w:type="dxa" w:w="1200"/>
            <w:shd w:fill="1F2A44" w:val="clear"/>
          </w:tcPr>
          <w:p>
            <w:r>
              <w:rPr>
                <w:b/>
                <w:bCs/>
                <w:color w:val="FFFFFF"/>
              </w:rPr>
              <w:t xml:space="preserve">E</w:t>
            </w:r>
          </w:p>
        </w:tc>
      </w:tr>
      <w:tr>
        <w:tc>
          <w:tcPr>
            <w:tcW w:type="dxa" w:w="1800"/>
          </w:tcPr>
          <w:p>
            <w:r>
              <w:rPr>
                <w:b w:val="false"/>
                <w:bCs w:val="false"/>
              </w:rPr>
              <w:t xml:space="preserve">11</w:t>
            </w:r>
          </w:p>
        </w:tc>
        <w:tc>
          <w:tcPr>
            <w:tcW w:type="dxa" w:w="1500"/>
          </w:tcPr>
          <w:p>
            <w:r>
              <w:rPr>
                <w:b w:val="false"/>
                <w:bCs w:val="false"/>
              </w:rPr>
              <w:t xml:space="preserve">50</w:t>
            </w:r>
          </w:p>
        </w:tc>
        <w:tc>
          <w:tcPr>
            <w:tcW w:type="dxa" w:w="1200"/>
          </w:tcPr>
          <w:p>
            <w:r>
              <w:rPr>
                <w:b w:val="false"/>
                <w:bCs w:val="false"/>
              </w:rPr>
              <w:t xml:space="preserve">27</w:t>
            </w:r>
          </w:p>
        </w:tc>
        <w:tc>
          <w:tcPr>
            <w:tcW w:type="dxa" w:w="1200"/>
          </w:tcPr>
          <w:p>
            <w:r>
              <w:rPr>
                <w:b w:val="false"/>
                <w:bCs w:val="false"/>
              </w:rPr>
              <w:t xml:space="preserve">23</w:t>
            </w:r>
          </w:p>
        </w:tc>
        <w:tc>
          <w:tcPr>
            <w:tcW w:type="dxa" w:w="1200"/>
          </w:tcPr>
          <w:p>
            <w:r>
              <w:rPr>
                <w:b w:val="false"/>
                <w:bCs w:val="false"/>
              </w:rPr>
              <w:t xml:space="preserve">19</w:t>
            </w:r>
          </w:p>
        </w:tc>
        <w:tc>
          <w:tcPr>
            <w:tcW w:type="dxa" w:w="1200"/>
          </w:tcPr>
          <w:p>
            <w:r>
              <w:rPr>
                <w:b w:val="false"/>
                <w:bCs w:val="false"/>
              </w:rPr>
              <w:t xml:space="preserve">16</w:t>
            </w:r>
          </w:p>
        </w:tc>
        <w:tc>
          <w:tcPr>
            <w:tcW w:type="dxa" w:w="1200"/>
          </w:tcPr>
          <w:p>
            <w:r>
              <w:rPr>
                <w:b w:val="false"/>
                <w:bCs w:val="false"/>
              </w:rPr>
              <w:t xml:space="preserve">13</w:t>
            </w:r>
          </w:p>
        </w:tc>
      </w:tr>
      <w:tr>
        <w:tc>
          <w:tcPr>
            <w:tcW w:type="dxa" w:w="1800"/>
          </w:tcPr>
          <w:p>
            <w:r>
              <w:rPr>
                <w:b w:val="false"/>
                <w:bCs w:val="false"/>
              </w:rPr>
              <w:t xml:space="preserve">12</w:t>
            </w:r>
          </w:p>
        </w:tc>
        <w:tc>
          <w:tcPr>
            <w:tcW w:type="dxa" w:w="1500"/>
          </w:tcPr>
          <w:p>
            <w:r>
              <w:rPr>
                <w:b w:val="false"/>
                <w:bCs w:val="false"/>
              </w:rPr>
              <w:t xml:space="preserve">50</w:t>
            </w:r>
          </w:p>
        </w:tc>
        <w:tc>
          <w:tcPr>
            <w:tcW w:type="dxa" w:w="1200"/>
          </w:tcPr>
          <w:p>
            <w:r>
              <w:rPr>
                <w:b w:val="false"/>
                <w:bCs w:val="false"/>
              </w:rPr>
              <w:t xml:space="preserve">28</w:t>
            </w:r>
          </w:p>
        </w:tc>
        <w:tc>
          <w:tcPr>
            <w:tcW w:type="dxa" w:w="1200"/>
          </w:tcPr>
          <w:p>
            <w:r>
              <w:rPr>
                <w:b w:val="false"/>
                <w:bCs w:val="false"/>
              </w:rPr>
              <w:t xml:space="preserve">24</w:t>
            </w:r>
          </w:p>
        </w:tc>
        <w:tc>
          <w:tcPr>
            <w:tcW w:type="dxa" w:w="1200"/>
          </w:tcPr>
          <w:p>
            <w:r>
              <w:rPr>
                <w:b w:val="false"/>
                <w:bCs w:val="false"/>
              </w:rPr>
              <w:t xml:space="preserve">20</w:t>
            </w:r>
          </w:p>
        </w:tc>
        <w:tc>
          <w:tcPr>
            <w:tcW w:type="dxa" w:w="1200"/>
          </w:tcPr>
          <w:p>
            <w:r>
              <w:rPr>
                <w:b w:val="false"/>
                <w:bCs w:val="false"/>
              </w:rPr>
              <w:t xml:space="preserve">16</w:t>
            </w:r>
          </w:p>
        </w:tc>
        <w:tc>
          <w:tcPr>
            <w:tcW w:type="dxa" w:w="1200"/>
          </w:tcPr>
          <w:p>
            <w:r>
              <w:rPr>
                <w:b w:val="false"/>
                <w:bCs w:val="false"/>
              </w:rPr>
              <w:t xml:space="preserve">12</w:t>
            </w:r>
          </w:p>
        </w:tc>
      </w:tr>
      <w:tr>
        <w:tc>
          <w:tcPr>
            <w:tcW w:type="dxa" w:w="1800"/>
          </w:tcPr>
          <w:p>
            <w:r>
              <w:rPr>
                <w:b w:val="false"/>
                <w:bCs w:val="false"/>
              </w:rPr>
              <w:t xml:space="preserve">21</w:t>
            </w:r>
          </w:p>
        </w:tc>
        <w:tc>
          <w:tcPr>
            <w:tcW w:type="dxa" w:w="1500"/>
          </w:tcPr>
          <w:p>
            <w:r>
              <w:rPr>
                <w:b w:val="false"/>
                <w:bCs w:val="false"/>
              </w:rPr>
              <w:t xml:space="preserve">50</w:t>
            </w:r>
          </w:p>
        </w:tc>
        <w:tc>
          <w:tcPr>
            <w:tcW w:type="dxa" w:w="1200"/>
          </w:tcPr>
          <w:p>
            <w:r>
              <w:rPr>
                <w:b w:val="false"/>
                <w:bCs w:val="false"/>
              </w:rPr>
              <w:t xml:space="preserve">24</w:t>
            </w:r>
          </w:p>
        </w:tc>
        <w:tc>
          <w:tcPr>
            <w:tcW w:type="dxa" w:w="1200"/>
          </w:tcPr>
          <w:p>
            <w:r>
              <w:rPr>
                <w:b w:val="false"/>
                <w:bCs w:val="false"/>
              </w:rPr>
              <w:t xml:space="preserve">20</w:t>
            </w:r>
          </w:p>
        </w:tc>
        <w:tc>
          <w:tcPr>
            <w:tcW w:type="dxa" w:w="1200"/>
          </w:tcPr>
          <w:p>
            <w:r>
              <w:rPr>
                <w:b w:val="false"/>
                <w:bCs w:val="false"/>
              </w:rPr>
              <w:t xml:space="preserve">16</w:t>
            </w:r>
          </w:p>
        </w:tc>
        <w:tc>
          <w:tcPr>
            <w:tcW w:type="dxa" w:w="1200"/>
          </w:tcPr>
          <w:p>
            <w:r>
              <w:rPr>
                <w:b w:val="false"/>
                <w:bCs w:val="false"/>
              </w:rPr>
              <w:t xml:space="preserve">13</w:t>
            </w:r>
          </w:p>
        </w:tc>
        <w:tc>
          <w:tcPr>
            <w:tcW w:type="dxa" w:w="1200"/>
          </w:tcPr>
          <w:p>
            <w:r>
              <w:rPr>
                <w:b w:val="false"/>
                <w:bCs w:val="false"/>
              </w:rPr>
              <w:t xml:space="preserve">11</w:t>
            </w:r>
          </w:p>
        </w:tc>
      </w:tr>
      <w:tr>
        <w:tc>
          <w:tcPr>
            <w:tcW w:type="dxa" w:w="1800"/>
          </w:tcPr>
          <w:p>
            <w:r>
              <w:rPr>
                <w:b w:val="false"/>
                <w:bCs w:val="false"/>
              </w:rPr>
              <w:t xml:space="preserve">22</w:t>
            </w:r>
          </w:p>
        </w:tc>
        <w:tc>
          <w:tcPr>
            <w:tcW w:type="dxa" w:w="1500"/>
          </w:tcPr>
          <w:p>
            <w:r>
              <w:rPr>
                <w:b w:val="false"/>
                <w:bCs w:val="false"/>
              </w:rPr>
              <w:t xml:space="preserve">50</w:t>
            </w:r>
          </w:p>
        </w:tc>
        <w:tc>
          <w:tcPr>
            <w:tcW w:type="dxa" w:w="1200"/>
          </w:tcPr>
          <w:p>
            <w:r>
              <w:rPr>
                <w:b w:val="false"/>
                <w:bCs w:val="false"/>
              </w:rPr>
              <w:t xml:space="preserve">25</w:t>
            </w:r>
          </w:p>
        </w:tc>
        <w:tc>
          <w:tcPr>
            <w:tcW w:type="dxa" w:w="1200"/>
          </w:tcPr>
          <w:p>
            <w:r>
              <w:rPr>
                <w:b w:val="false"/>
                <w:bCs w:val="false"/>
              </w:rPr>
              <w:t xml:space="preserve">20</w:t>
            </w:r>
          </w:p>
        </w:tc>
        <w:tc>
          <w:tcPr>
            <w:tcW w:type="dxa" w:w="1200"/>
          </w:tcPr>
          <w:p>
            <w:r>
              <w:rPr>
                <w:b w:val="false"/>
                <w:bCs w:val="false"/>
              </w:rPr>
              <w:t xml:space="preserve">16</w:t>
            </w:r>
          </w:p>
        </w:tc>
        <w:tc>
          <w:tcPr>
            <w:tcW w:type="dxa" w:w="1200"/>
          </w:tcPr>
          <w:p>
            <w:r>
              <w:rPr>
                <w:b w:val="false"/>
                <w:bCs w:val="false"/>
              </w:rPr>
              <w:t xml:space="preserve">13</w:t>
            </w:r>
          </w:p>
        </w:tc>
        <w:tc>
          <w:tcPr>
            <w:tcW w:type="dxa" w:w="1200"/>
          </w:tcPr>
          <w:p>
            <w:r>
              <w:rPr>
                <w:b w:val="false"/>
                <w:bCs w:val="false"/>
              </w:rPr>
              <w:t xml:space="preserve">11</w:t>
            </w:r>
          </w:p>
        </w:tc>
      </w:tr>
    </w:tbl>
    <w:p>
      <w:pPr>
        <w:spacing w:before="200"/>
      </w:pPr>
    </w:p>
    <w:p>
      <w:pPr>
        <w:pStyle w:val="Heading2"/>
        <w:spacing w:after="120" w:before="240"/>
      </w:pPr>
      <w:r>
        <w:t xml:space="preserve">Overall Grade Thresholds (Weighted)</w:t>
      </w:r>
    </w:p>
    <w:p>
      <w:pPr>
        <w:spacing w:after="100"/>
      </w:pPr>
      <w:r>
        <w:t xml:space="preserve">Grade A* does not exist at the level of an individual component.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400"/>
        <w:gridCol w:w="900"/>
        <w:gridCol w:w="900"/>
        <w:gridCol w:w="900"/>
        <w:gridCol w:w="900"/>
        <w:gridCol w:w="900"/>
        <w:gridCol w:w="900"/>
      </w:tblGrid>
      <w:tr>
        <w:tc>
          <w:tcPr>
            <w:tcW w:type="dxa" w:w="1000"/>
            <w:shd w:fill="1F2A44" w:val="clear"/>
          </w:tcPr>
          <w:p>
            <w:r>
              <w:rPr>
                <w:b/>
                <w:bCs/>
                <w:color w:val="FFFFFF"/>
              </w:rPr>
              <w:t xml:space="preserve">Option</w:t>
            </w:r>
          </w:p>
        </w:tc>
        <w:tc>
          <w:tcPr>
            <w:tcW w:type="dxa" w:w="1400"/>
            <w:shd w:fill="1F2A44" w:val="clear"/>
          </w:tcPr>
          <w:p>
            <w:r>
              <w:rPr>
                <w:b/>
                <w:bCs/>
                <w:color w:val="FFFFFF"/>
              </w:rPr>
              <w:t xml:space="preserve">Max (weighted)</w:t>
            </w:r>
          </w:p>
        </w:tc>
        <w:tc>
          <w:tcPr>
            <w:tcW w:type="dxa" w:w="1400"/>
            <w:shd w:fill="1F2A44" w:val="clear"/>
          </w:tcPr>
          <w:p>
            <w:r>
              <w:rPr>
                <w:b/>
                <w:bCs/>
                <w:color w:val="FFFFFF"/>
              </w:rPr>
              <w:t xml:space="preserve">Components</w:t>
            </w:r>
          </w:p>
        </w:tc>
        <w:tc>
          <w:tcPr>
            <w:tcW w:type="dxa" w:w="900"/>
            <w:shd w:fill="1F2A44" w:val="clear"/>
          </w:tcPr>
          <w:p>
            <w:r>
              <w:rPr>
                <w:b/>
                <w:bCs/>
                <w:color w:val="FFFFFF"/>
              </w:rPr>
              <w:t xml:space="preserve">A*</w:t>
            </w:r>
          </w:p>
        </w:tc>
        <w:tc>
          <w:tcPr>
            <w:tcW w:type="dxa" w:w="900"/>
            <w:shd w:fill="1F2A44" w:val="clear"/>
          </w:tcPr>
          <w:p>
            <w:r>
              <w:rPr>
                <w:b/>
                <w:bCs/>
                <w:color w:val="FFFFFF"/>
              </w:rPr>
              <w:t xml:space="preserve">A</w:t>
            </w:r>
          </w:p>
        </w:tc>
        <w:tc>
          <w:tcPr>
            <w:tcW w:type="dxa" w:w="900"/>
            <w:shd w:fill="1F2A44" w:val="clear"/>
          </w:tcPr>
          <w:p>
            <w:r>
              <w:rPr>
                <w:b/>
                <w:bCs/>
                <w:color w:val="FFFFFF"/>
              </w:rPr>
              <w:t xml:space="preserve">B</w:t>
            </w:r>
          </w:p>
        </w:tc>
        <w:tc>
          <w:tcPr>
            <w:tcW w:type="dxa" w:w="900"/>
            <w:shd w:fill="1F2A44" w:val="clear"/>
          </w:tcPr>
          <w:p>
            <w:r>
              <w:rPr>
                <w:b/>
                <w:bCs/>
                <w:color w:val="FFFFFF"/>
              </w:rPr>
              <w:t xml:space="preserve">C</w:t>
            </w:r>
          </w:p>
        </w:tc>
        <w:tc>
          <w:tcPr>
            <w:tcW w:type="dxa" w:w="900"/>
            <w:shd w:fill="1F2A44" w:val="clear"/>
          </w:tcPr>
          <w:p>
            <w:r>
              <w:rPr>
                <w:b/>
                <w:bCs/>
                <w:color w:val="FFFFFF"/>
              </w:rPr>
              <w:t xml:space="preserve">D</w:t>
            </w:r>
          </w:p>
        </w:tc>
        <w:tc>
          <w:tcPr>
            <w:tcW w:type="dxa" w:w="900"/>
            <w:shd w:fill="1F2A44" w:val="clear"/>
          </w:tcPr>
          <w:p>
            <w:r>
              <w:rPr>
                <w:b/>
                <w:bCs/>
                <w:color w:val="FFFFFF"/>
              </w:rPr>
              <w:t xml:space="preserve">E</w:t>
            </w:r>
          </w:p>
        </w:tc>
      </w:tr>
      <w:tr>
        <w:tc>
          <w:tcPr>
            <w:tcW w:type="dxa" w:w="1000"/>
          </w:tcPr>
          <w:p>
            <w:r>
              <w:rPr>
                <w:b w:val="false"/>
                <w:bCs w:val="false"/>
              </w:rPr>
              <w:t xml:space="preserve">AX</w:t>
            </w:r>
          </w:p>
        </w:tc>
        <w:tc>
          <w:tcPr>
            <w:tcW w:type="dxa" w:w="1400"/>
          </w:tcPr>
          <w:p>
            <w:r>
              <w:rPr>
                <w:b w:val="false"/>
                <w:bCs w:val="false"/>
              </w:rPr>
              <w:t xml:space="preserve">100</w:t>
            </w:r>
          </w:p>
        </w:tc>
        <w:tc>
          <w:tcPr>
            <w:tcW w:type="dxa" w:w="1400"/>
          </w:tcPr>
          <w:p>
            <w:r>
              <w:rPr>
                <w:b w:val="false"/>
                <w:bCs w:val="false"/>
              </w:rPr>
              <w:t xml:space="preserve">11, 21</w:t>
            </w:r>
          </w:p>
        </w:tc>
        <w:tc>
          <w:tcPr>
            <w:tcW w:type="dxa" w:w="900"/>
          </w:tcPr>
          <w:p>
            <w:r>
              <w:rPr>
                <w:b w:val="false"/>
                <w:bCs w:val="false"/>
              </w:rPr>
              <w:t xml:space="preserve">59</w:t>
            </w:r>
          </w:p>
        </w:tc>
        <w:tc>
          <w:tcPr>
            <w:tcW w:type="dxa" w:w="900"/>
          </w:tcPr>
          <w:p>
            <w:r>
              <w:rPr>
                <w:b w:val="false"/>
                <w:bCs w:val="false"/>
              </w:rPr>
              <w:t xml:space="preserve">51</w:t>
            </w:r>
          </w:p>
        </w:tc>
        <w:tc>
          <w:tcPr>
            <w:tcW w:type="dxa" w:w="900"/>
          </w:tcPr>
          <w:p>
            <w:r>
              <w:rPr>
                <w:b w:val="false"/>
                <w:bCs w:val="false"/>
              </w:rPr>
              <w:t xml:space="preserve">43</w:t>
            </w:r>
          </w:p>
        </w:tc>
        <w:tc>
          <w:tcPr>
            <w:tcW w:type="dxa" w:w="900"/>
          </w:tcPr>
          <w:p>
            <w:r>
              <w:rPr>
                <w:b w:val="false"/>
                <w:bCs w:val="false"/>
              </w:rPr>
              <w:t xml:space="preserve">35</w:t>
            </w:r>
          </w:p>
        </w:tc>
        <w:tc>
          <w:tcPr>
            <w:tcW w:type="dxa" w:w="900"/>
          </w:tcPr>
          <w:p>
            <w:r>
              <w:rPr>
                <w:b w:val="false"/>
                <w:bCs w:val="false"/>
              </w:rPr>
              <w:t xml:space="preserve">29</w:t>
            </w:r>
          </w:p>
        </w:tc>
        <w:tc>
          <w:tcPr>
            <w:tcW w:type="dxa" w:w="900"/>
          </w:tcPr>
          <w:p>
            <w:r>
              <w:rPr>
                <w:b w:val="false"/>
                <w:bCs w:val="false"/>
              </w:rPr>
              <w:t xml:space="preserve">24</w:t>
            </w:r>
          </w:p>
        </w:tc>
      </w:tr>
      <w:tr>
        <w:tc>
          <w:tcPr>
            <w:tcW w:type="dxa" w:w="1000"/>
          </w:tcPr>
          <w:p>
            <w:r>
              <w:rPr>
                <w:b w:val="false"/>
                <w:bCs w:val="false"/>
              </w:rPr>
              <w:t xml:space="preserve">AY</w:t>
            </w:r>
          </w:p>
        </w:tc>
        <w:tc>
          <w:tcPr>
            <w:tcW w:type="dxa" w:w="1400"/>
          </w:tcPr>
          <w:p>
            <w:r>
              <w:rPr>
                <w:b w:val="false"/>
                <w:bCs w:val="false"/>
              </w:rPr>
              <w:t xml:space="preserve">100</w:t>
            </w:r>
          </w:p>
        </w:tc>
        <w:tc>
          <w:tcPr>
            <w:tcW w:type="dxa" w:w="1400"/>
          </w:tcPr>
          <w:p>
            <w:r>
              <w:rPr>
                <w:b w:val="false"/>
                <w:bCs w:val="false"/>
              </w:rPr>
              <w:t xml:space="preserve">12, 22</w:t>
            </w:r>
          </w:p>
        </w:tc>
        <w:tc>
          <w:tcPr>
            <w:tcW w:type="dxa" w:w="900"/>
          </w:tcPr>
          <w:p>
            <w:r>
              <w:rPr>
                <w:b w:val="false"/>
                <w:bCs w:val="false"/>
              </w:rPr>
              <w:t xml:space="preserve">62</w:t>
            </w:r>
          </w:p>
        </w:tc>
        <w:tc>
          <w:tcPr>
            <w:tcW w:type="dxa" w:w="900"/>
          </w:tcPr>
          <w:p>
            <w:r>
              <w:rPr>
                <w:b w:val="false"/>
                <w:bCs w:val="false"/>
              </w:rPr>
              <w:t xml:space="preserve">53</w:t>
            </w:r>
          </w:p>
        </w:tc>
        <w:tc>
          <w:tcPr>
            <w:tcW w:type="dxa" w:w="900"/>
          </w:tcPr>
          <w:p>
            <w:r>
              <w:rPr>
                <w:b w:val="false"/>
                <w:bCs w:val="false"/>
              </w:rPr>
              <w:t xml:space="preserve">44</w:t>
            </w:r>
          </w:p>
        </w:tc>
        <w:tc>
          <w:tcPr>
            <w:tcW w:type="dxa" w:w="900"/>
          </w:tcPr>
          <w:p>
            <w:r>
              <w:rPr>
                <w:b w:val="false"/>
                <w:bCs w:val="false"/>
              </w:rPr>
              <w:t xml:space="preserve">36</w:t>
            </w:r>
          </w:p>
        </w:tc>
        <w:tc>
          <w:tcPr>
            <w:tcW w:type="dxa" w:w="900"/>
          </w:tcPr>
          <w:p>
            <w:r>
              <w:rPr>
                <w:b w:val="false"/>
                <w:bCs w:val="false"/>
              </w:rPr>
              <w:t xml:space="preserve">29</w:t>
            </w:r>
          </w:p>
        </w:tc>
        <w:tc>
          <w:tcPr>
            <w:tcW w:type="dxa" w:w="900"/>
          </w:tcPr>
          <w:p>
            <w:r>
              <w:rPr>
                <w:b w:val="false"/>
                <w:bCs w:val="false"/>
              </w:rPr>
              <w:t xml:space="preserve">23</w:t>
            </w:r>
          </w:p>
        </w:tc>
      </w:tr>
    </w:tbl>
    <w:p>
      <w:r>
        <w:br w:type="page"/>
      </w:r>
    </w:p>
    <w:p>
      <w:pPr>
        <w:pStyle w:val="Heading1"/>
        <w:spacing w:after="150" w:before="300"/>
      </w:pPr>
      <w:r>
        <w:t xml:space="preserve">Paper 2058/11 — Paper 1, Variant 11</w:t>
      </w:r>
    </w:p>
    <w:p>
      <w:pPr>
        <w:pStyle w:val="Heading2"/>
        <w:spacing w:after="120" w:before="240"/>
      </w:pPr>
      <w:r>
        <w:t xml:space="preserve">Key Messages (Examiner's Report)</w:t>
      </w:r>
    </w:p>
    <w:p>
      <w:pPr>
        <w:pStyle w:val="ListParagraph"/>
        <w:numPr>
          <w:ilvl w:val="0"/>
          <w:numId w:val="1"/>
        </w:numPr>
        <w:spacing w:after="60"/>
      </w:pPr>
      <w:r>
        <w:t xml:space="preserve">Good answers gave detailed responses with specific facts, figures, dates, personalities, or quotations to support points.</w:t>
      </w:r>
    </w:p>
    <w:p>
      <w:pPr>
        <w:pStyle w:val="ListParagraph"/>
        <w:numPr>
          <w:ilvl w:val="0"/>
          <w:numId w:val="1"/>
        </w:numPr>
        <w:spacing w:after="60"/>
      </w:pPr>
      <w:r>
        <w:t xml:space="preserve">The space provided for an answer indicates how much should be written.</w:t>
      </w:r>
    </w:p>
    <w:p>
      <w:pPr>
        <w:pStyle w:val="ListParagraph"/>
        <w:numPr>
          <w:ilvl w:val="0"/>
          <w:numId w:val="1"/>
        </w:numPr>
        <w:spacing w:after="60"/>
      </w:pPr>
      <w:r>
        <w:t xml:space="preserve">Relevancy, accuracy, and depth improve a response.</w:t>
      </w:r>
    </w:p>
    <w:p>
      <w:pPr>
        <w:pStyle w:val="Heading2"/>
        <w:spacing w:after="120" w:before="240"/>
      </w:pPr>
      <w:r>
        <w:t xml:space="preserve">General Comments</w:t>
      </w:r>
    </w:p>
    <w:p>
      <w:pPr>
        <w:pStyle w:val="ListParagraph"/>
        <w:numPr>
          <w:ilvl w:val="0"/>
          <w:numId w:val="1"/>
        </w:numPr>
        <w:spacing w:after="60"/>
      </w:pPr>
      <w:r>
        <w:t xml:space="preserve">Most successful responses understood what the question asked; Question 1 was often weakened by unnecessary detail about sura names and origins.</w:t>
      </w:r>
    </w:p>
    <w:p>
      <w:pPr>
        <w:pStyle w:val="ListParagraph"/>
        <w:numPr>
          <w:ilvl w:val="0"/>
          <w:numId w:val="1"/>
        </w:numPr>
        <w:spacing w:after="60"/>
      </w:pPr>
      <w:r>
        <w:t xml:space="preserve">Candidates should clearly label and separate parts (a) and (b).</w:t>
      </w:r>
    </w:p>
    <w:p>
      <w:pPr>
        <w:pStyle w:val="Heading2"/>
        <w:spacing w:after="120" w:before="240"/>
      </w:pPr>
      <w:r>
        <w:t xml:space="preserve">Question-by-Question Summary</w:t>
      </w:r>
    </w:p>
    <w:p>
      <w:pPr>
        <w:pStyle w:val="Heading3"/>
        <w:spacing w:after="90" w:before="180"/>
      </w:pPr>
      <w:r>
        <w:t xml:space="preserve">Q1 – Qur'an passages (2 of 3): themes and their importance today</w:t>
      </w:r>
    </w:p>
    <w:p>
      <w:pPr>
        <w:spacing w:after="100"/>
      </w:pPr>
      <w:r>
        <w:rPr>
          <w:i/>
          <w:iCs/>
          <w:sz w:val="20"/>
          <w:szCs w:val="20"/>
        </w:rPr>
        <w:t xml:space="preserve">Marks available: 8 (4+4)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Best responses identified themes clearly with support from sources of authority (creation, knowledge, the Last Day, accountability, God's nature). Weak responses paraphrased translations or gave generic points about God.</w:t>
      </w:r>
    </w:p>
    <w:p>
      <w:pPr>
        <w:pStyle w:val="ListParagraph"/>
        <w:numPr>
          <w:ilvl w:val="0"/>
          <w:numId w:val="1"/>
        </w:numPr>
        <w:spacing w:after="60"/>
      </w:pPr>
      <w:r>
        <w:t xml:space="preserve">(b) Good responses linked themes to acknowledging God as creator, worship, seeking knowledge, fear of accountability, trust in God, avoiding shirk. Weak responses were simplistic or repeated part (a).</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Sura 96.1–5: God as Creator; His favours/mercy; start of revelation and prophethood; importance of knowledge. Significance today: understanding creation from nothing; seeking knowledge (esp. religious); gratitude to God.</w:t>
      </w:r>
    </w:p>
    <w:p>
      <w:pPr>
        <w:pStyle w:val="ListParagraph"/>
        <w:numPr>
          <w:ilvl w:val="0"/>
          <w:numId w:val="1"/>
        </w:numPr>
        <w:spacing w:after="60"/>
      </w:pPr>
      <w:r>
        <w:t xml:space="preserve">Sura 99: God's power over life/death and the earth; the earth testifying; accountability for actions; God's justice. Significance today: fear of accountability encourages good deeds; reminds of the temporary nature of the world; comfort in God's justice.</w:t>
      </w:r>
    </w:p>
    <w:p>
      <w:pPr>
        <w:pStyle w:val="ListParagraph"/>
        <w:numPr>
          <w:ilvl w:val="0"/>
          <w:numId w:val="1"/>
        </w:numPr>
        <w:spacing w:after="60"/>
      </w:pPr>
      <w:r>
        <w:t xml:space="preserve">Sura 6.101–103: God's power over heavens/earth; His complete knowledge; reliance on Him; He alone is worthy of worship. Significance today: tawhid — one God, no partners/offspring; worship and turning to Him alone; awareness that He sees and hears all.</w:t>
      </w:r>
    </w:p>
    <w:p>
      <w:pPr>
        <w:pStyle w:val="Heading3"/>
        <w:spacing w:after="90" w:before="180"/>
      </w:pPr>
      <w:r>
        <w:t xml:space="preserve">Q2 – Qur'an, Sunna and ijma' as sources of law / Qur'an's role in unifying Muslims</w:t>
      </w:r>
    </w:p>
    <w:p>
      <w:pPr>
        <w:spacing w:after="100"/>
      </w:pPr>
      <w:r>
        <w:rPr>
          <w:i/>
          <w:iCs/>
          <w:sz w:val="20"/>
          <w:szCs w:val="20"/>
        </w:rPr>
        <w:t xml:space="preserve">Marks available: 14 (10+4)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Excellent answers covered all three sources, their validity in Qur'an/Hadith, and examples of interaction. Reasonable answers focused mainly on Qur'an and Sunna; weak answers were general.</w:t>
      </w:r>
    </w:p>
    <w:p>
      <w:pPr>
        <w:pStyle w:val="ListParagraph"/>
        <w:numPr>
          <w:ilvl w:val="0"/>
          <w:numId w:val="1"/>
        </w:numPr>
        <w:spacing w:after="60"/>
      </w:pPr>
      <w:r>
        <w:t xml:space="preserve">(b) Good answers noted shared derivation of law unifies Muslims globally; best answers discussed the unchanging nature of the Qur'an over 1400 years.</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Qur'an: word of God, unquestioned authority, protected/unchanged. Sunna: Prophet's example recorded in Hadith, expands Qur'anic rulings (e.g. zakat, inheritance for grandmother), Hadith of Mu'adh ibn Jabal. Ijma': consensus used when primary sources are silent, based on 'my community will never agree upon an error'; examples — compiling the Qur'an, second adhan for Jum'a, IVF.</w:t>
      </w:r>
    </w:p>
    <w:p>
      <w:pPr>
        <w:pStyle w:val="ListParagraph"/>
        <w:numPr>
          <w:ilvl w:val="0"/>
          <w:numId w:val="1"/>
        </w:numPr>
        <w:spacing w:after="60"/>
      </w:pPr>
      <w:r>
        <w:t xml:space="preserve">(b) Qur'an unifies as the fundamental source all Muslims consult; basis of law-making across cultures; unchanged/preserved nature prevents division.</w:t>
      </w:r>
    </w:p>
    <w:p>
      <w:pPr>
        <w:pStyle w:val="Heading3"/>
        <w:spacing w:after="90" w:before="180"/>
      </w:pPr>
      <w:r>
        <w:t xml:space="preserve">Q3 – Prophet's life from birth to prophethood / how upbringing prepared him for prophethood</w:t>
      </w:r>
    </w:p>
    <w:p>
      <w:pPr>
        <w:spacing w:after="100"/>
      </w:pPr>
      <w:r>
        <w:rPr>
          <w:i/>
          <w:iCs/>
          <w:sz w:val="20"/>
          <w:szCs w:val="20"/>
        </w:rPr>
        <w:t xml:space="preserve">Marks available: 14 (10+4)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Most popular optional question. Good responses gave precise detail with quoted excerpts; weak ones were inaccurate or underdeveloped.</w:t>
      </w:r>
    </w:p>
    <w:p>
      <w:pPr>
        <w:pStyle w:val="ListParagraph"/>
        <w:numPr>
          <w:ilvl w:val="0"/>
          <w:numId w:val="1"/>
        </w:numPr>
        <w:spacing w:after="60"/>
      </w:pPr>
      <w:r>
        <w:t xml:space="preserve">(b) Best responses either discussed individuals who taught him skills, or the environment (loss, changing guardianship, self-reliance) that shaped him. Weak responses described influences without linking to prophethood.</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Born in the Year of the Elephant to Amina and Abdullah; wet-nursed by Halima Sa'adia (incident of the angel cleaning his heart); mother died when he was six; raised by grandfather Abdul Muttalib, then uncle Abu Talib; Bahira the monk's prediction on a trade journey; known for honesty; employed by Khadija, later married her; helped resolve the Black Stone dispute aged 35; retreats to the Cave of Hira; first revelation at 40.</w:t>
      </w:r>
    </w:p>
    <w:p>
      <w:pPr>
        <w:pStyle w:val="ListParagraph"/>
        <w:numPr>
          <w:ilvl w:val="0"/>
          <w:numId w:val="1"/>
        </w:numPr>
        <w:spacing w:after="60"/>
      </w:pPr>
      <w:r>
        <w:t xml:space="preserve">(b) Desert upbringing gave good health and pure Arabic eloquence; exposure to different people built understanding of human needs; learned varied skills; alternative view: God prepared him regardless of upbringing.</w:t>
      </w:r>
    </w:p>
    <w:p>
      <w:pPr>
        <w:pStyle w:val="Heading3"/>
        <w:spacing w:after="90" w:before="180"/>
      </w:pPr>
      <w:r>
        <w:t xml:space="preserve">Q4 – The Prophet's final pilgrimage and Farewell Sermon / most important teaching from it</w:t>
      </w:r>
    </w:p>
    <w:p>
      <w:pPr>
        <w:spacing w:after="100"/>
      </w:pPr>
      <w:r>
        <w:rPr>
          <w:i/>
          <w:iCs/>
          <w:sz w:val="20"/>
          <w:szCs w:val="20"/>
        </w:rPr>
        <w:t xml:space="preserve">Marks available: 14 (10+4)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Good responses covered the Farewell Sermon's teachings (rights of wives/slaves, Five Pillars, equality) and the Hajj itself; weak responses dwelt irrelevantly on the Prophet's final illness.</w:t>
      </w:r>
    </w:p>
    <w:p>
      <w:pPr>
        <w:pStyle w:val="ListParagraph"/>
        <w:numPr>
          <w:ilvl w:val="0"/>
          <w:numId w:val="1"/>
        </w:numPr>
        <w:spacing w:after="60"/>
      </w:pPr>
      <w:r>
        <w:t xml:space="preserve">(b) Good responses argued a specific teaching's importance (e.g. rights of women) and reasoned it would produce a peaceful society; weak responses were merely descriptive.</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631 CE, ~30,000 pilgrims; tawaf then 'Arafah sermon; guidance from Qur'an and Sunna; prohibition of revenge and usury; protection of wives/women; adherence to the Five Pillars; equality of Arab/non-Arab; revelation of 5:3; continued to Muzdalifah, Mina (stoning, sacrifice), return to Makka, three days at Tashriq.</w:t>
      </w:r>
    </w:p>
    <w:p>
      <w:pPr>
        <w:pStyle w:val="ListParagraph"/>
        <w:numPr>
          <w:ilvl w:val="0"/>
          <w:numId w:val="1"/>
        </w:numPr>
        <w:spacing w:after="60"/>
      </w:pPr>
      <w:r>
        <w:t xml:space="preserve">(b) Possible 'most important teachings': Five Pillars (basis of practice); Day of Judgment (encourages good deeds); equality (combats racism); treatment of women (addresses inequality); or ethics/morality more broadly (interest, adultery, responsibility, worship).</w:t>
      </w:r>
    </w:p>
    <w:p>
      <w:pPr>
        <w:pStyle w:val="Heading3"/>
        <w:spacing w:after="90" w:before="180"/>
      </w:pPr>
      <w:r>
        <w:t xml:space="preserve">Q5 – Companions as Scribes of the Qur'an / benefits of the Qur'an online</w:t>
      </w:r>
    </w:p>
    <w:p>
      <w:pPr>
        <w:spacing w:after="100"/>
      </w:pPr>
      <w:r>
        <w:rPr>
          <w:i/>
          <w:iCs/>
          <w:sz w:val="20"/>
          <w:szCs w:val="20"/>
        </w:rPr>
        <w:t xml:space="preserve">Marks available: 14 (10+4)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Strong responses covered several scribes and their duties (Zayd ibn Thabit, 'Ali, Abdullah ibn Mas'ud most common). Weaker responses focused instead on modes of revelation and the Abu Bakr/'Uthman compilation.</w:t>
      </w:r>
    </w:p>
    <w:p>
      <w:pPr>
        <w:pStyle w:val="ListParagraph"/>
        <w:numPr>
          <w:ilvl w:val="0"/>
          <w:numId w:val="1"/>
        </w:numPr>
        <w:spacing w:after="60"/>
      </w:pPr>
      <w:r>
        <w:t xml:space="preserve">(b) Responses covered easy accessibility, translations, pronunciation guidance, mostly free — largely descriptive, few evaluative points offered.</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Scribes recorded revelation, contracts, and letters on parchment, bone, dried leaves. Zayd ibn Thabit — leading scribe of revelation, learned Hebrew for correspondence with Jews. Ubayy ibn Ka'ab — memorised Qur'an, wrote letters to heads of state. 'Ali — wrote treaties (e.g. Hudaybiyya). Abdullah ibn Mas'ud — known for Qur'anic knowledge. Abdullah ibn 'Amr ibn al-'As — recorded Hadith with the Prophet's permission.</w:t>
      </w:r>
    </w:p>
    <w:p>
      <w:pPr>
        <w:pStyle w:val="ListParagraph"/>
        <w:numPr>
          <w:ilvl w:val="0"/>
          <w:numId w:val="1"/>
        </w:numPr>
        <w:spacing w:after="60"/>
      </w:pPr>
      <w:r>
        <w:t xml:space="preserve">(b) Greater accessibility; searchable, multilingual resources; recitations for non-readers of Arabic; concerns — lack of standardisation/quality control, unequal internet access.</w:t>
      </w:r>
    </w:p>
    <w:p>
      <w:r>
        <w:br w:type="page"/>
      </w:r>
    </w:p>
    <w:p>
      <w:pPr>
        <w:pStyle w:val="Heading1"/>
        <w:spacing w:after="150" w:before="300"/>
      </w:pPr>
      <w:r>
        <w:t xml:space="preserve">Paper 2058/12 — Paper 1, Variant 12</w:t>
      </w:r>
    </w:p>
    <w:p>
      <w:pPr>
        <w:pStyle w:val="Heading2"/>
        <w:spacing w:after="120" w:before="240"/>
      </w:pPr>
      <w:r>
        <w:t xml:space="preserve">Key Messages (Examiner's Report)</w:t>
      </w:r>
    </w:p>
    <w:p>
      <w:pPr>
        <w:pStyle w:val="ListParagraph"/>
        <w:numPr>
          <w:ilvl w:val="0"/>
          <w:numId w:val="1"/>
        </w:numPr>
        <w:spacing w:after="60"/>
      </w:pPr>
      <w:r>
        <w:t xml:space="preserve">Good answers gave detailed responses with specific facts, figures, dates, personalities, or quotations to support points.</w:t>
      </w:r>
    </w:p>
    <w:p>
      <w:pPr>
        <w:pStyle w:val="ListParagraph"/>
        <w:numPr>
          <w:ilvl w:val="0"/>
          <w:numId w:val="1"/>
        </w:numPr>
        <w:spacing w:after="60"/>
      </w:pPr>
      <w:r>
        <w:t xml:space="preserve">The space provided for an answer indicates how much should be written.</w:t>
      </w:r>
    </w:p>
    <w:p>
      <w:pPr>
        <w:pStyle w:val="ListParagraph"/>
        <w:numPr>
          <w:ilvl w:val="0"/>
          <w:numId w:val="1"/>
        </w:numPr>
        <w:spacing w:after="60"/>
      </w:pPr>
      <w:r>
        <w:t xml:space="preserve">Relevancy, accuracy, and depth improve a response.</w:t>
      </w:r>
    </w:p>
    <w:p>
      <w:pPr>
        <w:pStyle w:val="Heading2"/>
        <w:spacing w:after="120" w:before="240"/>
      </w:pPr>
      <w:r>
        <w:t xml:space="preserve">General Comments</w:t>
      </w:r>
    </w:p>
    <w:p>
      <w:pPr>
        <w:pStyle w:val="ListParagraph"/>
        <w:numPr>
          <w:ilvl w:val="0"/>
          <w:numId w:val="1"/>
        </w:numPr>
        <w:spacing w:after="60"/>
      </w:pPr>
      <w:r>
        <w:t xml:space="preserve">Confident part (a) answers showed precise understanding of the question; weaker ones did not.</w:t>
      </w:r>
    </w:p>
    <w:p>
      <w:pPr>
        <w:pStyle w:val="ListParagraph"/>
        <w:numPr>
          <w:ilvl w:val="0"/>
          <w:numId w:val="1"/>
        </w:numPr>
        <w:spacing w:after="60"/>
      </w:pPr>
      <w:r>
        <w:t xml:space="preserve">Part (b) requires application of knowledge, not general restatement of teachings; good answers develop and link arguments to the question.</w:t>
      </w:r>
    </w:p>
    <w:p>
      <w:pPr>
        <w:pStyle w:val="Heading2"/>
        <w:spacing w:after="120" w:before="240"/>
      </w:pPr>
      <w:r>
        <w:t xml:space="preserve">Question-by-Question Summary</w:t>
      </w:r>
    </w:p>
    <w:p>
      <w:pPr>
        <w:pStyle w:val="Heading3"/>
        <w:spacing w:after="90" w:before="180"/>
      </w:pPr>
      <w:r>
        <w:t xml:space="preserve">Q1 – Qur'an passages (2 of 3): themes and their importance today</w:t>
      </w:r>
    </w:p>
    <w:p>
      <w:pPr>
        <w:spacing w:after="100"/>
      </w:pPr>
      <w:r>
        <w:rPr>
          <w:i/>
          <w:iCs/>
          <w:sz w:val="20"/>
          <w:szCs w:val="20"/>
        </w:rPr>
        <w:t xml:space="preserve">Marks available: 8 (4+4)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Best responses developed specific themes (God as creator/sustainer, protection, vulnerability, reward, consolation to prophets). Weaker responses misidentified themes (e.g. forgiveness in Sura An-Nas) or wrote generic/irrelevant background about sura names and revelation location.</w:t>
      </w:r>
    </w:p>
    <w:p>
      <w:pPr>
        <w:pStyle w:val="ListParagraph"/>
        <w:numPr>
          <w:ilvl w:val="0"/>
          <w:numId w:val="1"/>
        </w:numPr>
        <w:spacing w:after="60"/>
      </w:pPr>
      <w:r>
        <w:t xml:space="preserve">(b) Excellent responses linked precise themes to belief and practical Muslim life; weaker responses repeated part (a) or made simplistic statements about tawhid/shirk for every passage.</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Sura 2.21–22: God as creator, worthy of worship; creation for humanity's benefit; sustenance; gratitude; avoiding shirk; tawhid. Significance: contemplating God/nature, worship, environmental responsibility, gratitude, reliance on God.</w:t>
      </w:r>
    </w:p>
    <w:p>
      <w:pPr>
        <w:pStyle w:val="ListParagraph"/>
        <w:numPr>
          <w:ilvl w:val="0"/>
          <w:numId w:val="1"/>
        </w:numPr>
        <w:spacing w:after="60"/>
      </w:pPr>
      <w:r>
        <w:t xml:space="preserve">Sura 114: God's sovereignty (Rabb, Malik, Ilah); divine protection from jinn/humans; seeking help only from Him; warning against those who whisper evil. Significance: seeking refuge with God, recognising signs of mischief/temptation, reliance and trust in God's protection.</w:t>
      </w:r>
    </w:p>
    <w:p>
      <w:pPr>
        <w:pStyle w:val="ListParagraph"/>
        <w:numPr>
          <w:ilvl w:val="0"/>
          <w:numId w:val="1"/>
        </w:numPr>
        <w:spacing w:after="60"/>
      </w:pPr>
      <w:r>
        <w:t xml:space="preserve">Sura 108: Theme of Allah's messengers; consolation to the Prophet; the gift of kawthar (river in paradise / abundance / progeny / success); worship and gratitude through sacrifice. Significance: hope in hardship, steadfastness, spirit of sacrifice and prayer.</w:t>
      </w:r>
    </w:p>
    <w:p>
      <w:pPr>
        <w:pStyle w:val="Heading3"/>
        <w:spacing w:after="90" w:before="180"/>
      </w:pPr>
      <w:r>
        <w:t xml:space="preserve">Q2 – Receiving the first revelation / significance of 23-year revelation</w:t>
      </w:r>
    </w:p>
    <w:p>
      <w:pPr>
        <w:spacing w:after="100"/>
      </w:pPr>
      <w:r>
        <w:rPr>
          <w:i/>
          <w:iCs/>
          <w:sz w:val="20"/>
          <w:szCs w:val="20"/>
        </w:rPr>
        <w:t xml:space="preserve">Marks available: 14 (10+4)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Strongest responses quoted 'Aishah's Hadith, conversations between Khadija and the Prophet, and Waraqa's prediction, with description of the angel's interaction. Weaker responses gave only a basic outline.</w:t>
      </w:r>
    </w:p>
    <w:p>
      <w:pPr>
        <w:pStyle w:val="ListParagraph"/>
        <w:numPr>
          <w:ilvl w:val="0"/>
          <w:numId w:val="1"/>
        </w:numPr>
        <w:spacing w:after="60"/>
      </w:pPr>
      <w:r>
        <w:t xml:space="preserve">(b) Many good responses explained gradual revelation eased hardship, matched community needs, aided adoption of new rules, and ensured accurate preservation.</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Retreat in Cave of Hira; angel Jibril commands 'Iqra'; three squeezes; recitation of Sura al-'Alaq 96:1–5; Prophet's confusion, returning home to Khadija; her consolation; Waraqa ibn Nawfal confirms prophethood and predicts opposition.</w:t>
      </w:r>
    </w:p>
    <w:p>
      <w:pPr>
        <w:pStyle w:val="ListParagraph"/>
        <w:numPr>
          <w:ilvl w:val="0"/>
          <w:numId w:val="1"/>
        </w:numPr>
        <w:spacing w:after="60"/>
      </w:pPr>
      <w:r>
        <w:t xml:space="preserve">(b) Easier absorption/teaching in stages; responses to specific events as they arose; prevented claims the Prophet authored it himself.</w:t>
      </w:r>
    </w:p>
    <w:p>
      <w:pPr>
        <w:pStyle w:val="Heading3"/>
        <w:spacing w:after="90" w:before="180"/>
      </w:pPr>
      <w:r>
        <w:t xml:space="preserve">Q3 – Tribes of Madina and the Constitution of Madina / lessons for Muslims today</w:t>
      </w:r>
    </w:p>
    <w:p>
      <w:pPr>
        <w:spacing w:after="100"/>
      </w:pPr>
      <w:r>
        <w:rPr>
          <w:i/>
          <w:iCs/>
          <w:sz w:val="20"/>
          <w:szCs w:val="20"/>
        </w:rPr>
        <w:t xml:space="preserve">Marks available: 14 (10+4)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Good responses covered pagan/Jewish tribal backgrounds, inter-tribal relations, and precise Constitution terms. Weaker responses knew only tribe names and a few basic constitution points. Weak responses strayed into irrelevant detail (expulsion of Jews, Pledges of 'Aqaba, migration details).</w:t>
      </w:r>
    </w:p>
    <w:p>
      <w:pPr>
        <w:pStyle w:val="ListParagraph"/>
        <w:numPr>
          <w:ilvl w:val="0"/>
          <w:numId w:val="1"/>
        </w:numPr>
        <w:spacing w:after="60"/>
      </w:pPr>
      <w:r>
        <w:t xml:space="preserve">(b) Good responses discussed minority rights, religious freedom, security, and peace agreements, with real-world examples; weaker responses gave simplistic cooperation statements.</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Aws and Khazraj (later 'Ansar') had fought for 120 years (Battle of Bu'ath); Jewish tribes — Banu Qaynuqa, Banu Nadir, Banu Qurayza — dominant in trade/goldsmithing; Constitution formed one Umma of believers and Jews, freedom of religion, mutual defence, Prophet as arbiter, boycott of Quraysh; lasted 10 years.</w:t>
      </w:r>
    </w:p>
    <w:p>
      <w:pPr>
        <w:pStyle w:val="ListParagraph"/>
        <w:numPr>
          <w:ilvl w:val="0"/>
          <w:numId w:val="1"/>
        </w:numPr>
        <w:spacing w:after="60"/>
      </w:pPr>
      <w:r>
        <w:t xml:space="preserve">(b) Living amicably with other faiths; protecting minority/majority rights equally; modern parallels — economic cooperation agreements, peace treaties.</w:t>
      </w:r>
    </w:p>
    <w:p>
      <w:pPr>
        <w:pStyle w:val="Heading3"/>
        <w:spacing w:after="90" w:before="180"/>
      </w:pPr>
      <w:r>
        <w:t xml:space="preserve">Q4 – Battles of Khaybar and Tabuk / lesson from perseverance at Khaybar</w:t>
      </w:r>
    </w:p>
    <w:p>
      <w:pPr>
        <w:spacing w:after="100"/>
      </w:pPr>
      <w:r>
        <w:rPr>
          <w:i/>
          <w:iCs/>
          <w:sz w:val="20"/>
          <w:szCs w:val="20"/>
        </w:rPr>
        <w:t xml:space="preserve">Marks available: 14 (10+4)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Excellent responses gave reasons, preparation (esp. Tabuk donations), troop movement, and outcomes for both battles, including Prophet's quotations on Companions' roles. Weaker responses attempted only one battle or confused it with the Battle of Mu'tah.</w:t>
      </w:r>
    </w:p>
    <w:p>
      <w:pPr>
        <w:pStyle w:val="ListParagraph"/>
        <w:numPr>
          <w:ilvl w:val="0"/>
          <w:numId w:val="1"/>
        </w:numPr>
        <w:spacing w:after="60"/>
      </w:pPr>
      <w:r>
        <w:t xml:space="preserve">(b) Good responses focused on perseverance/faith/resilience with everyday examples; weak responses discussed the wrong battle or gave generic lessons.</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Khaybar (628): fought against Jews who broke agreements; 1,400 Muslims; eight forts taken one by one (al-Qamus resistant); banner given to 'Ali who killed Marhab; Jews allowed to farm the oasis for half the produce.</w:t>
      </w:r>
    </w:p>
    <w:p>
      <w:pPr>
        <w:pStyle w:val="ListParagraph"/>
        <w:numPr>
          <w:ilvl w:val="0"/>
          <w:numId w:val="1"/>
        </w:numPr>
        <w:spacing w:after="60"/>
      </w:pPr>
      <w:r>
        <w:t xml:space="preserve">Tabuk (630): Byzantine threat under Heraclius; huge donations ('Uthman, Abu Bakr, 'Umar); 30,000 marched despite heat; hypocrites stayed behind; no battle occurred; treaties made with border tribes; reputation spread widely afterward.</w:t>
      </w:r>
    </w:p>
    <w:p>
      <w:pPr>
        <w:pStyle w:val="ListParagraph"/>
        <w:numPr>
          <w:ilvl w:val="0"/>
          <w:numId w:val="1"/>
        </w:numPr>
        <w:spacing w:after="60"/>
      </w:pPr>
      <w:r>
        <w:t xml:space="preserve">(b) Faith, determination, and resilience in adversity; belief that God assists those who persevere for a good cause.</w:t>
      </w:r>
    </w:p>
    <w:p>
      <w:pPr>
        <w:pStyle w:val="Heading3"/>
        <w:spacing w:after="90" w:before="180"/>
      </w:pPr>
      <w:r>
        <w:t xml:space="preserve">Q5 – Bilal ibn Rabah and Abu Sufyan ibn Harb / equality lessons from their conversions</w:t>
      </w:r>
    </w:p>
    <w:p>
      <w:pPr>
        <w:spacing w:after="100"/>
      </w:pPr>
      <w:r>
        <w:rPr>
          <w:i/>
          <w:iCs/>
          <w:sz w:val="20"/>
          <w:szCs w:val="20"/>
        </w:rPr>
        <w:t xml:space="preserve">Marks available: 14 (10+4)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Good responses gave comprehensive detail on both figures' backgrounds, persecution/role for Bilal, and battles/reconciliation/conversion for Abu Sufyan. Weaker responses covered only the most commonly-known facts.</w:t>
      </w:r>
    </w:p>
    <w:p>
      <w:pPr>
        <w:pStyle w:val="ListParagraph"/>
        <w:numPr>
          <w:ilvl w:val="0"/>
          <w:numId w:val="1"/>
        </w:numPr>
        <w:spacing w:after="60"/>
      </w:pPr>
      <w:r>
        <w:t xml:space="preserve">(b) Strong responses on Bilal discussed the equality of a former slave becoming a close Companion, piety as the only criterion for status; strong responses on Abu Sufyan discussed equal treatment after repentance regardless of past deeds.</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Bilal: born into slavery in Makka; mother Hamama (Abyssinian), tortured by master Umayya ibn Khalf; freed by Abu Bakr; first muezzin; managed the treasury; fought in battles, killed his former master at Badr; died in Damascus.</w:t>
      </w:r>
    </w:p>
    <w:p>
      <w:pPr>
        <w:pStyle w:val="ListParagraph"/>
        <w:numPr>
          <w:ilvl w:val="0"/>
          <w:numId w:val="1"/>
        </w:numPr>
        <w:spacing w:after="60"/>
      </w:pPr>
      <w:r>
        <w:t xml:space="preserve">Abu Sufyan: prominent Quraysh opponent of the Prophet, Banu Umayya; daughter Ramla married the Prophet; role in Badr, Uhud, the Trench; attempted reconciliation after Hudaybiyya broken; converted before the Conquest of Makka; house declared a sanctuary; lost an eye at Ta'if (and possibly Yarmuk); governor of Najran; died aged 90.</w:t>
      </w:r>
    </w:p>
    <w:p>
      <w:pPr>
        <w:pStyle w:val="ListParagraph"/>
        <w:numPr>
          <w:ilvl w:val="0"/>
          <w:numId w:val="1"/>
        </w:numPr>
        <w:spacing w:after="60"/>
      </w:pPr>
      <w:r>
        <w:t xml:space="preserve">(b) Islam welcomes rich and poor, all races, as equals; status determined by faith/piety not lineage; past sins erased upon sincere repentance.</w:t>
      </w:r>
    </w:p>
    <w:p>
      <w:r>
        <w:br w:type="page"/>
      </w:r>
    </w:p>
    <w:p>
      <w:pPr>
        <w:pStyle w:val="Heading1"/>
        <w:spacing w:after="150" w:before="300"/>
      </w:pPr>
      <w:r>
        <w:t xml:space="preserve">Paper 2058/21 — Paper 2, Variant 21</w:t>
      </w:r>
    </w:p>
    <w:p>
      <w:pPr>
        <w:pStyle w:val="Heading2"/>
        <w:spacing w:after="120" w:before="240"/>
      </w:pPr>
      <w:r>
        <w:t xml:space="preserve">Key Messages (Examiner's Report)</w:t>
      </w:r>
    </w:p>
    <w:p>
      <w:pPr>
        <w:pStyle w:val="ListParagraph"/>
        <w:numPr>
          <w:ilvl w:val="0"/>
          <w:numId w:val="1"/>
        </w:numPr>
        <w:spacing w:after="60"/>
      </w:pPr>
      <w:r>
        <w:t xml:space="preserve">Read the question carefully to understand what it is asking.</w:t>
      </w:r>
    </w:p>
    <w:p>
      <w:pPr>
        <w:pStyle w:val="ListParagraph"/>
        <w:numPr>
          <w:ilvl w:val="0"/>
          <w:numId w:val="1"/>
        </w:numPr>
        <w:spacing w:after="60"/>
      </w:pPr>
      <w:r>
        <w:t xml:space="preserve">Select precise information; do not write everything known about a topic — stay focused on what is asked.</w:t>
      </w:r>
    </w:p>
    <w:p>
      <w:pPr>
        <w:pStyle w:val="ListParagraph"/>
        <w:numPr>
          <w:ilvl w:val="0"/>
          <w:numId w:val="1"/>
        </w:numPr>
        <w:spacing w:after="60"/>
      </w:pPr>
      <w:r>
        <w:t xml:space="preserve">Use supporting quotations and examples where applicable.</w:t>
      </w:r>
    </w:p>
    <w:p>
      <w:pPr>
        <w:pStyle w:val="Heading2"/>
        <w:spacing w:after="120" w:before="240"/>
      </w:pPr>
      <w:r>
        <w:t xml:space="preserve">General Comments</w:t>
      </w:r>
    </w:p>
    <w:p>
      <w:pPr>
        <w:pStyle w:val="ListParagraph"/>
        <w:numPr>
          <w:ilvl w:val="0"/>
          <w:numId w:val="1"/>
        </w:numPr>
        <w:spacing w:after="60"/>
      </w:pPr>
      <w:r>
        <w:t xml:space="preserve">Candidates showed good knowledge for part (a); success depended on the depth of knowledge shown.</w:t>
      </w:r>
    </w:p>
    <w:p>
      <w:pPr>
        <w:pStyle w:val="ListParagraph"/>
        <w:numPr>
          <w:ilvl w:val="0"/>
          <w:numId w:val="1"/>
        </w:numPr>
        <w:spacing w:after="60"/>
      </w:pPr>
      <w:r>
        <w:t xml:space="preserve">Part (b) answers generally presented sound reasons for the topic's importance.</w:t>
      </w:r>
    </w:p>
    <w:p>
      <w:pPr>
        <w:pStyle w:val="Heading2"/>
        <w:spacing w:after="120" w:before="240"/>
      </w:pPr>
      <w:r>
        <w:t xml:space="preserve">Question-by-Question Summary</w:t>
      </w:r>
    </w:p>
    <w:p>
      <w:pPr>
        <w:pStyle w:val="Heading3"/>
        <w:spacing w:after="90" w:before="180"/>
      </w:pPr>
      <w:r>
        <w:t xml:space="preserve">Q1 – Hadiths (2 of 4): teachings and putting them into action</w:t>
      </w:r>
    </w:p>
    <w:p>
      <w:pPr>
        <w:spacing w:after="100"/>
      </w:pPr>
      <w:r>
        <w:rPr>
          <w:i/>
          <w:iCs/>
          <w:sz w:val="20"/>
          <w:szCs w:val="20"/>
        </w:rPr>
        <w:t xml:space="preserve">Marks available: 8 (4+4)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Good responses clearly described teachings, developing them with support from other Hadiths. Weaker responses paraphrased the given translation. Hadiths 3, 9 and 16 were the most popular choices.</w:t>
      </w:r>
    </w:p>
    <w:p>
      <w:pPr>
        <w:pStyle w:val="ListParagraph"/>
        <w:numPr>
          <w:ilvl w:val="0"/>
          <w:numId w:val="1"/>
        </w:numPr>
        <w:spacing w:after="60"/>
      </w:pPr>
      <w:r>
        <w:t xml:space="preserve">(b) Best responses gave real examples of applying the teaching (e.g. honouring guests, giving food to neighbours for Hadith 3); weaker responses were descriptive or repeated part (a).</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Hadith 3 (speech/generosity to neighbour/guest): links each act to faith; positive use of speech, generosity to neighbours/guests. Action: not backbiting/abusive language, honouring guests.</w:t>
      </w:r>
    </w:p>
    <w:p>
      <w:pPr>
        <w:pStyle w:val="ListParagraph"/>
        <w:numPr>
          <w:ilvl w:val="0"/>
          <w:numId w:val="1"/>
        </w:numPr>
        <w:spacing w:after="60"/>
      </w:pPr>
      <w:r>
        <w:t xml:space="preserve">Hadith 9 (earning by one's own work): rizq predetermined but effort matters; dignity of labour, lawful earning over reliance on others. Action: following prophetic example of working (e.g. shepherding), avoiding unlawful income.</w:t>
      </w:r>
    </w:p>
    <w:p>
      <w:pPr>
        <w:pStyle w:val="ListParagraph"/>
        <w:numPr>
          <w:ilvl w:val="0"/>
          <w:numId w:val="1"/>
        </w:numPr>
        <w:spacing w:after="60"/>
      </w:pPr>
      <w:r>
        <w:t xml:space="preserve">Hadith 16 (believers as one body): brotherhood in Islam; unity, shared feeling of pain, mutual defence of blood/honour/property. Action: solidarity with oppressed Muslims globally.</w:t>
      </w:r>
    </w:p>
    <w:p>
      <w:pPr>
        <w:pStyle w:val="ListParagraph"/>
        <w:numPr>
          <w:ilvl w:val="0"/>
          <w:numId w:val="1"/>
        </w:numPr>
        <w:spacing w:after="60"/>
      </w:pPr>
      <w:r>
        <w:t xml:space="preserve">Hadith 10 (managing affairs of widow/poor): community welfare, worship extends beyond ritual acts. Action: supporting the vulnerable, providing resources/healthcare for widows and orphans.</w:t>
      </w:r>
    </w:p>
    <w:p>
      <w:pPr>
        <w:pStyle w:val="Heading3"/>
        <w:spacing w:after="90" w:before="180"/>
      </w:pPr>
      <w:r>
        <w:t xml:space="preserve">Q2 – Categories of Hadith (Sahih, Hasan, Da'if) / importance of classification</w:t>
      </w:r>
    </w:p>
    <w:p>
      <w:pPr>
        <w:spacing w:after="100"/>
      </w:pPr>
      <w:r>
        <w:rPr>
          <w:i/>
          <w:iCs/>
          <w:sz w:val="20"/>
          <w:szCs w:val="20"/>
        </w:rPr>
        <w:t xml:space="preserve">Marks available: 14 (10+4)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Many showed understanding of Sahih; better responses gave examples of each category, chains of narrators, isnad and matn rules. Weak responses confused weak (da'if) with fabricated (mawdu') Hadiths.</w:t>
      </w:r>
    </w:p>
    <w:p>
      <w:pPr>
        <w:pStyle w:val="ListParagraph"/>
        <w:numPr>
          <w:ilvl w:val="0"/>
          <w:numId w:val="1"/>
        </w:numPr>
        <w:spacing w:after="60"/>
      </w:pPr>
      <w:r>
        <w:t xml:space="preserve">(b) Good responses tied classification to law-making and to preserving correct religious practice.</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Sahih: accuracy beyond question, honest/reliable narrators, unbroken chain; e.g. Bukhari and Muslim. Hasan: text true but narrators/isnad less rigorously verified — reliable but a degree below Sahih. Da'if: truthfulness of text/transmission not fully established — weakness may stem from a narrator's lesser-known reliability or an interrupted isnad, though not rejected outright.</w:t>
      </w:r>
    </w:p>
    <w:p>
      <w:pPr>
        <w:pStyle w:val="ListParagraph"/>
        <w:numPr>
          <w:ilvl w:val="0"/>
          <w:numId w:val="1"/>
        </w:numPr>
        <w:spacing w:after="60"/>
      </w:pPr>
      <w:r>
        <w:t xml:space="preserve">(b) Necessary for accurate law-making — only most authentic Hadiths used in legal rulings; weak Hadiths still valuable for morals/devotion if properly labelled.</w:t>
      </w:r>
    </w:p>
    <w:p>
      <w:pPr>
        <w:pStyle w:val="Heading3"/>
        <w:spacing w:after="90" w:before="180"/>
      </w:pPr>
      <w:r>
        <w:t xml:space="preserve">Q3 – Battles of the Bridge and Buwayb / significance of victory at Buwayb</w:t>
      </w:r>
    </w:p>
    <w:p>
      <w:pPr>
        <w:spacing w:after="100"/>
      </w:pPr>
      <w:r>
        <w:rPr>
          <w:i/>
          <w:iCs/>
          <w:sz w:val="20"/>
          <w:szCs w:val="20"/>
        </w:rPr>
        <w:t xml:space="preserve">Marks available: 14 (10+4)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Popular question; good responses gave detail on commanders, dates, tactics, outcomes, consequences for both battles.</w:t>
      </w:r>
    </w:p>
    <w:p>
      <w:pPr>
        <w:pStyle w:val="ListParagraph"/>
        <w:numPr>
          <w:ilvl w:val="0"/>
          <w:numId w:val="1"/>
        </w:numPr>
        <w:spacing w:after="60"/>
      </w:pPr>
      <w:r>
        <w:t xml:space="preserve">(b) Good responses discussed morale, loss of fear of the Persians, and control of southern Iraq.</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Battle of the Bridge (634): Muslims under Abu 'Ubaydah vs Persians (Rustam/Bahman); Persian elephants and archers devastated Muslim ranks; bridge ropes cut, causing drowning — worst early Muslim defeat.</w:t>
      </w:r>
    </w:p>
    <w:p>
      <w:pPr>
        <w:pStyle w:val="ListParagraph"/>
        <w:numPr>
          <w:ilvl w:val="0"/>
          <w:numId w:val="1"/>
        </w:numPr>
        <w:spacing w:after="60"/>
      </w:pPr>
      <w:r>
        <w:t xml:space="preserve">Battle of Buwayb (635): combined Muslim/Christian force under Muthanna vs 12,000 Persians under Mehran; Persians crossed the river; Mehran killed, Persians routed; bridge access blocked to eliminate retreat.</w:t>
      </w:r>
    </w:p>
    <w:p>
      <w:pPr>
        <w:pStyle w:val="ListParagraph"/>
        <w:numPr>
          <w:ilvl w:val="0"/>
          <w:numId w:val="1"/>
        </w:numPr>
        <w:spacing w:after="60"/>
      </w:pPr>
      <w:r>
        <w:t xml:space="preserve">(b) Defeating a Persian superpower army boosted morale, removed fear/awe of Persia, secured control of southern Iraq, and paved the way for the victory at Qadissiya (636).</w:t>
      </w:r>
    </w:p>
    <w:p>
      <w:pPr>
        <w:pStyle w:val="Heading3"/>
        <w:spacing w:after="90" w:before="180"/>
      </w:pPr>
      <w:r>
        <w:t xml:space="preserve">Q4 – Revolt against 'Uthman and the Madina rebellion / most serious consequence of his assassination</w:t>
      </w:r>
    </w:p>
    <w:p>
      <w:pPr>
        <w:spacing w:after="100"/>
      </w:pPr>
      <w:r>
        <w:rPr>
          <w:i/>
          <w:iCs/>
          <w:sz w:val="20"/>
          <w:szCs w:val="20"/>
        </w:rPr>
        <w:t xml:space="preserve">Marks available: 14 (10+4)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Good responses covered reasons for revolt and rebellion events; some confused city/governor names.</w:t>
      </w:r>
    </w:p>
    <w:p>
      <w:pPr>
        <w:pStyle w:val="ListParagraph"/>
        <w:numPr>
          <w:ilvl w:val="0"/>
          <w:numId w:val="1"/>
        </w:numPr>
        <w:spacing w:after="60"/>
      </w:pPr>
      <w:r>
        <w:t xml:space="preserve">(b) Good responses selected and justified the most serious consequence, rather than merely listing several.</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Causes: nepotism in appointments, leniency toward relatives, spending from public treasury, burning Qur'an copies. Events: three columns of rebels came to Madina in 656, deputations to senior Companions, 'Ali as intermediary, the forged letter incident reignited the rebellion, leading to 'Uthman's martyrdom.</w:t>
      </w:r>
    </w:p>
    <w:p>
      <w:pPr>
        <w:pStyle w:val="ListParagraph"/>
        <w:numPr>
          <w:ilvl w:val="0"/>
          <w:numId w:val="1"/>
        </w:numPr>
        <w:spacing w:after="60"/>
      </w:pPr>
      <w:r>
        <w:t xml:space="preserve">(b) Possible answers: division among Muslims over 'Ali's election, calls to avenge 'Uthman leading to the first intra-Muslim battles/disunity.</w:t>
      </w:r>
    </w:p>
    <w:p>
      <w:pPr>
        <w:pStyle w:val="Heading3"/>
        <w:spacing w:after="90" w:before="180"/>
      </w:pPr>
      <w:r>
        <w:t xml:space="preserve">Q5 – Preparation for and features of Friday (Jum'a) prayer / benefits of congregational prayer</w:t>
      </w:r>
    </w:p>
    <w:p>
      <w:pPr>
        <w:spacing w:after="100"/>
      </w:pPr>
      <w:r>
        <w:rPr>
          <w:i/>
          <w:iCs/>
          <w:sz w:val="20"/>
          <w:szCs w:val="20"/>
        </w:rPr>
        <w:t xml:space="preserve">Marks available: 14 (10+4)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Most responses described preparation (bathing, clean clothes, nails, ittar, wudu); better responses added detail on the two adhans, the sermon, and two (not four) fard raka'at. Some missed that Jum'a replaces Zuhr or must be behind an imam.</w:t>
      </w:r>
    </w:p>
    <w:p>
      <w:pPr>
        <w:pStyle w:val="ListParagraph"/>
        <w:numPr>
          <w:ilvl w:val="0"/>
          <w:numId w:val="1"/>
        </w:numPr>
        <w:spacing w:after="60"/>
      </w:pPr>
      <w:r>
        <w:t xml:space="preserve">(b) Good responses cited spiritual reward, brotherhood, and charity, often supported by personal experience.</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Preparation: bathing, clean clothes, trimming nails, ittar, wudu. Features: replaces Zuhr; congregational, led by imam; two adhans; two sermons with a pause between; du'a; only two fard raka'at prayed in congregation.</w:t>
      </w:r>
    </w:p>
    <w:p>
      <w:pPr>
        <w:pStyle w:val="ListParagraph"/>
        <w:numPr>
          <w:ilvl w:val="0"/>
          <w:numId w:val="1"/>
        </w:numPr>
        <w:spacing w:after="60"/>
      </w:pPr>
      <w:r>
        <w:t xml:space="preserve">(b) 27 times greater reward than individual prayer; increased brotherhood; discussion of community issues; charity collected/steps to mosque rewarded.</w:t>
      </w:r>
    </w:p>
    <w:p>
      <w:r>
        <w:br w:type="page"/>
      </w:r>
    </w:p>
    <w:p>
      <w:pPr>
        <w:pStyle w:val="Heading1"/>
        <w:spacing w:after="150" w:before="300"/>
      </w:pPr>
      <w:r>
        <w:t xml:space="preserve">Paper 2058/22 — Paper 2, Variant 22</w:t>
      </w:r>
    </w:p>
    <w:p>
      <w:pPr>
        <w:pStyle w:val="Heading2"/>
        <w:spacing w:after="120" w:before="240"/>
      </w:pPr>
      <w:r>
        <w:t xml:space="preserve">Key Messages (Examiner's Report)</w:t>
      </w:r>
    </w:p>
    <w:p>
      <w:pPr>
        <w:pStyle w:val="ListParagraph"/>
        <w:numPr>
          <w:ilvl w:val="0"/>
          <w:numId w:val="1"/>
        </w:numPr>
        <w:spacing w:after="60"/>
      </w:pPr>
      <w:r>
        <w:t xml:space="preserve">Read the question carefully to understand what it is asking.</w:t>
      </w:r>
    </w:p>
    <w:p>
      <w:pPr>
        <w:pStyle w:val="ListParagraph"/>
        <w:numPr>
          <w:ilvl w:val="0"/>
          <w:numId w:val="1"/>
        </w:numPr>
        <w:spacing w:after="60"/>
      </w:pPr>
      <w:r>
        <w:t xml:space="preserve">Select precise information; do not write everything known about a topic — stay focused on what is asked.</w:t>
      </w:r>
    </w:p>
    <w:p>
      <w:pPr>
        <w:pStyle w:val="ListParagraph"/>
        <w:numPr>
          <w:ilvl w:val="0"/>
          <w:numId w:val="1"/>
        </w:numPr>
        <w:spacing w:after="60"/>
      </w:pPr>
      <w:r>
        <w:t xml:space="preserve">Use supporting quotations and examples where applicable.</w:t>
      </w:r>
    </w:p>
    <w:p>
      <w:pPr>
        <w:pStyle w:val="Heading2"/>
        <w:spacing w:after="120" w:before="240"/>
      </w:pPr>
      <w:r>
        <w:t xml:space="preserve">General Comments</w:t>
      </w:r>
    </w:p>
    <w:p>
      <w:pPr>
        <w:pStyle w:val="ListParagraph"/>
        <w:numPr>
          <w:ilvl w:val="0"/>
          <w:numId w:val="1"/>
        </w:numPr>
        <w:spacing w:after="60"/>
      </w:pPr>
      <w:r>
        <w:t xml:space="preserve">Candidates showed good knowledge for part (a); success depended on the depth of knowledge shown.</w:t>
      </w:r>
    </w:p>
    <w:p>
      <w:pPr>
        <w:pStyle w:val="ListParagraph"/>
        <w:numPr>
          <w:ilvl w:val="0"/>
          <w:numId w:val="1"/>
        </w:numPr>
        <w:spacing w:after="60"/>
      </w:pPr>
      <w:r>
        <w:t xml:space="preserve">Weaker part (b) answers misunderstood the question, over-emphasised description, took unsubstantiated stances, or made generic 'code of behaviour' suggestions regardless of the question.</w:t>
      </w:r>
    </w:p>
    <w:p>
      <w:pPr>
        <w:pStyle w:val="Heading2"/>
        <w:spacing w:after="120" w:before="240"/>
      </w:pPr>
      <w:r>
        <w:t xml:space="preserve">Question-by-Question Summary</w:t>
      </w:r>
    </w:p>
    <w:p>
      <w:pPr>
        <w:pStyle w:val="Heading3"/>
        <w:spacing w:after="90" w:before="180"/>
      </w:pPr>
      <w:r>
        <w:t xml:space="preserve">Q1 – Hadiths (2 of 4): teachings and putting them into action</w:t>
      </w:r>
    </w:p>
    <w:p>
      <w:pPr>
        <w:spacing w:after="100"/>
      </w:pPr>
      <w:r>
        <w:rPr>
          <w:i/>
          <w:iCs/>
          <w:sz w:val="20"/>
          <w:szCs w:val="20"/>
        </w:rPr>
        <w:t xml:space="preserve">Marks available: 8 (4+4)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Good responses clearly explained teachings, developed with other Hadiths. For Hadith 4, good responses noted the Qur'an as guidance to be read/understood; weaker ones focused narrowly on memorisation (hafiz). For Hadith 14, weaker responses generalised about mercy; stronger ones tied it specifically to business transactions.</w:t>
      </w:r>
    </w:p>
    <w:p>
      <w:pPr>
        <w:pStyle w:val="ListParagraph"/>
        <w:numPr>
          <w:ilvl w:val="0"/>
          <w:numId w:val="1"/>
        </w:numPr>
        <w:spacing w:after="60"/>
      </w:pPr>
      <w:r>
        <w:t xml:space="preserve">(b) Strong responses gave concrete examples (e.g. halal eating for Hadith 19); weaker responses repeated part (a).</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Hadith 4 (minimum requirements for Paradise): Five Pillars sufficient along with lawful/unlawful observance; Islam is not meant to be over-burdensome. Action: fulfilling the Pillars sincerely and on time.</w:t>
      </w:r>
    </w:p>
    <w:p>
      <w:pPr>
        <w:pStyle w:val="ListParagraph"/>
        <w:numPr>
          <w:ilvl w:val="0"/>
          <w:numId w:val="1"/>
        </w:numPr>
        <w:spacing w:after="60"/>
      </w:pPr>
      <w:r>
        <w:t xml:space="preserve">Hadith 19 (world as believer's prison): world is temporary, focus on the Hereafter; believers live within God's commands despite worldly temptation. Action: halal eating, modesty, lawful earning.</w:t>
      </w:r>
    </w:p>
    <w:p>
      <w:pPr>
        <w:pStyle w:val="ListParagraph"/>
        <w:numPr>
          <w:ilvl w:val="0"/>
          <w:numId w:val="1"/>
        </w:numPr>
        <w:spacing w:after="60"/>
      </w:pPr>
      <w:r>
        <w:t xml:space="preserve">Hadith 14 (mercy in trade): honesty, fairness and kindness in business as core to faith. Action: fair dealing, leniency to debtors, not selling substandard goods.</w:t>
      </w:r>
    </w:p>
    <w:p>
      <w:pPr>
        <w:pStyle w:val="ListParagraph"/>
        <w:numPr>
          <w:ilvl w:val="0"/>
          <w:numId w:val="1"/>
        </w:numPr>
        <w:spacing w:after="60"/>
      </w:pPr>
      <w:r>
        <w:t xml:space="preserve">Hadith 13 (tethered camels): Qur'an as guidance requiring active maintenance, or it is lost like an unattended camel. Action: daily reading, understanding, and teaching others.</w:t>
      </w:r>
    </w:p>
    <w:p>
      <w:pPr>
        <w:pStyle w:val="Heading3"/>
        <w:spacing w:after="90" w:before="180"/>
      </w:pPr>
      <w:r>
        <w:t xml:space="preserve">Q2 – Ijma' account with two examples from the Companions' time / whether qiyas applies laws at any time, any case</w:t>
      </w:r>
    </w:p>
    <w:p>
      <w:pPr>
        <w:spacing w:after="100"/>
      </w:pPr>
      <w:r>
        <w:rPr>
          <w:i/>
          <w:iCs/>
          <w:sz w:val="20"/>
          <w:szCs w:val="20"/>
        </w:rPr>
        <w:t xml:space="preserve">Marks available: 14 (10+4)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Most understood ijma'; some confused it with qiyas. Weak responses lacked eligibility criteria for those authorised to practise it. Many gave examples outside the Companions' era (e.g. covid-era rulings), which could not be credited for the second part.</w:t>
      </w:r>
    </w:p>
    <w:p>
      <w:pPr>
        <w:pStyle w:val="ListParagraph"/>
        <w:numPr>
          <w:ilvl w:val="0"/>
          <w:numId w:val="1"/>
        </w:numPr>
        <w:spacing w:after="60"/>
      </w:pPr>
      <w:r>
        <w:t xml:space="preserve">(b) Good responses used the Mu'adh ibn Jabal exchange and examples (nail polish/wudu, alcohol prohibition via asl/far'/'illa/hukm). Disagreeing answers were also credited if reasoned.</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Ijma': third source, used when Qur'an/Sunna are silent, based on 'my community will never agree upon an error'; rules on who may practise it (knowledge, piety). Examples from Companions' time: election of Abu Bakr, compilation of the Qur'an, decision on two adhans for Jum'a ('Uthman's time).</w:t>
      </w:r>
    </w:p>
    <w:p>
      <w:pPr>
        <w:pStyle w:val="ListParagraph"/>
        <w:numPr>
          <w:ilvl w:val="0"/>
          <w:numId w:val="1"/>
        </w:numPr>
        <w:spacing w:after="60"/>
      </w:pPr>
      <w:r>
        <w:t xml:space="preserve">(b) Agree: qiyas allows new rulings via analogy (e.g. cocaine/khamr reasoning) for issues unforeseen in scripture. Disagree: dependent on individual jurists' skill, lacks the broad consensus/support of the other three sources.</w:t>
      </w:r>
    </w:p>
    <w:p>
      <w:pPr>
        <w:pStyle w:val="Heading3"/>
        <w:spacing w:after="90" w:before="180"/>
      </w:pPr>
      <w:r>
        <w:t xml:space="preserve">Q3 – Leadership qualities of the Rightly Guided Caliphs / applying an example of their leadership today</w:t>
      </w:r>
    </w:p>
    <w:p>
      <w:pPr>
        <w:spacing w:after="100"/>
      </w:pPr>
      <w:r>
        <w:rPr>
          <w:i/>
          <w:iCs/>
          <w:sz w:val="20"/>
          <w:szCs w:val="20"/>
        </w:rPr>
        <w:t xml:space="preserve">Marks available: 14 (10+4)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Responses either took each caliph in turn with a quality and example, or listed achievements and linked them to qualities; strongest covered all four caliphs.</w:t>
      </w:r>
    </w:p>
    <w:p>
      <w:pPr>
        <w:pStyle w:val="ListParagraph"/>
        <w:numPr>
          <w:ilvl w:val="0"/>
          <w:numId w:val="1"/>
        </w:numPr>
        <w:spacing w:after="60"/>
      </w:pPr>
      <w:r>
        <w:t xml:space="preserve">(b) Best responses chose specific examples of leadership (religious freedom, social welfare, honesty with public funds); weaker ones answered too vaguely, listing qualities without applying them.</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Abu Bakr: majlis e shura, provincial division, state treasury (humility, continuity of Prophet's wishes). 'Umar: continued shura, merit-based wali appointments, strict justice (sacked a qadi who favoured him). 'Uthman: refused to call the army against rebels to prevent bloodshed. 'Ali: martyred leading prayer; all lived simply without bodyguards.</w:t>
      </w:r>
    </w:p>
    <w:p>
      <w:pPr>
        <w:pStyle w:val="ListParagraph"/>
        <w:numPr>
          <w:ilvl w:val="0"/>
          <w:numId w:val="1"/>
        </w:numPr>
        <w:spacing w:after="60"/>
      </w:pPr>
      <w:r>
        <w:t xml:space="preserve">(b) Comparisons: state finance management, equal justice regardless of faith/status, merit-based appointments, personal security/lack of it versus modern rulers.</w:t>
      </w:r>
    </w:p>
    <w:p>
      <w:pPr>
        <w:pStyle w:val="Heading3"/>
        <w:spacing w:after="90" w:before="180"/>
      </w:pPr>
      <w:r>
        <w:t xml:space="preserve">Q4 – Martyrdom of 'Uthman and election of 'Ali / reasons for opposition to 'Ali</w:t>
      </w:r>
    </w:p>
    <w:p>
      <w:pPr>
        <w:spacing w:after="100"/>
      </w:pPr>
      <w:r>
        <w:rPr>
          <w:i/>
          <w:iCs/>
          <w:sz w:val="20"/>
          <w:szCs w:val="20"/>
        </w:rPr>
        <w:t xml:space="preserve">Marks available: 14 (10+4)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Strong responses focused on the return of rebels to Madina, the siege of the caliph's house, and the attack itself; causes of rebellion should be read only as background/development. Few gave a good account of 'Ali's election alongside 'Uthman's martyrdom.</w:t>
      </w:r>
    </w:p>
    <w:p>
      <w:pPr>
        <w:pStyle w:val="ListParagraph"/>
        <w:numPr>
          <w:ilvl w:val="0"/>
          <w:numId w:val="1"/>
        </w:numPr>
        <w:spacing w:after="60"/>
      </w:pPr>
      <w:r>
        <w:t xml:space="preserve">(b) Good responses cited delayed justice for 'Uthman's killers, change of governors leading to the Battles of the Camel and Siffin, and the rise of the Kharijites.</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Rebels besieged 'Uthman's house (defended by Hasan and Muhammad ibn Abu Bakr); Marwan wounded; 'Uthman killed while reading the Qur'an, blood falling on verse 2:137; wife Naila injured protecting his body. 'Ali recognised as caliph by Madina and rebels alike; public pledge at the Prophet's mosque, 656; Talha and Zubayr also swore allegiance.</w:t>
      </w:r>
    </w:p>
    <w:p>
      <w:pPr>
        <w:pStyle w:val="ListParagraph"/>
        <w:numPr>
          <w:ilvl w:val="0"/>
          <w:numId w:val="1"/>
        </w:numPr>
        <w:spacing w:after="60"/>
      </w:pPr>
      <w:r>
        <w:t xml:space="preserve">(b) Opposition arose from new appointments angering removed officials; pressure from Talha, Zubayr, and 'A'isha over delayed justice; Mu'awiya's refusal to step down until 'Uthman's killers were punished.</w:t>
      </w:r>
    </w:p>
    <w:p>
      <w:pPr>
        <w:pStyle w:val="Heading3"/>
        <w:spacing w:after="90" w:before="180"/>
      </w:pPr>
      <w:r>
        <w:t xml:space="preserve">Q5 – Significance of the Day of 'Arafah and Eid-ul-Adha / lesson from the Prophet performing Hajj only once</w:t>
      </w:r>
    </w:p>
    <w:p>
      <w:pPr>
        <w:spacing w:after="100"/>
      </w:pPr>
      <w:r>
        <w:rPr>
          <w:i/>
          <w:iCs/>
          <w:sz w:val="20"/>
          <w:szCs w:val="20"/>
        </w:rPr>
        <w:t xml:space="preserve">Marks available: 14 (10+4)</w:t>
      </w:r>
    </w:p>
    <w:p>
      <w:pPr>
        <w:spacing w:after="60" w:before="100"/>
      </w:pPr>
      <w:r>
        <w:t xml:space="preserve">Examiner's Report — comments</w:t>
      </w:r>
      <w:r>
        <w:rPr>
          <w:b/>
          <w:bCs/>
        </w:rPr>
        <w:t xml:space="preserve">Examiner's Report — comments</w:t>
      </w:r>
    </w:p>
    <w:p>
      <w:pPr>
        <w:pStyle w:val="ListParagraph"/>
        <w:numPr>
          <w:ilvl w:val="0"/>
          <w:numId w:val="1"/>
        </w:numPr>
        <w:spacing w:after="60"/>
      </w:pPr>
      <w:r>
        <w:t xml:space="preserve">(a) Strongest responses balanced Day of Judgment associations with the fuller account (ninth of Dhu al-Hijja, climax of Hajj); weaker responses focused narrowly on the Day of Judgment or on Ibrahim/Isma'il's sacrifice alone for Eid-ul-Adha.</w:t>
      </w:r>
    </w:p>
    <w:p>
      <w:pPr>
        <w:pStyle w:val="ListParagraph"/>
        <w:numPr>
          <w:ilvl w:val="0"/>
          <w:numId w:val="1"/>
        </w:numPr>
        <w:spacing w:after="60"/>
      </w:pPr>
      <w:r>
        <w:t xml:space="preserve">(b) Well-answered overall; most understood the statement means quality/sincerity of Hajj matters more than repetition.</w:t>
      </w:r>
    </w:p>
    <w:p>
      <w:pPr>
        <w:spacing w:after="60" w:before="120"/>
      </w:pPr>
      <w:r>
        <w:t xml:space="preserve">Mark Scheme — key content</w:t>
      </w:r>
      <w:r>
        <w:rPr>
          <w:b/>
          <w:bCs/>
        </w:rPr>
        <w:t xml:space="preserve">Mark Scheme — key content</w:t>
      </w:r>
    </w:p>
    <w:p>
      <w:pPr>
        <w:pStyle w:val="ListParagraph"/>
        <w:numPr>
          <w:ilvl w:val="0"/>
          <w:numId w:val="1"/>
        </w:numPr>
        <w:spacing w:after="60"/>
      </w:pPr>
      <w:r>
        <w:t xml:space="preserve">Day of 'Arafah: 9th of Dhu al-Hijja, climax of Hajj; Mount of Mercy — site of the Farewell Sermon and last revelation; day of forgiveness ('Hajj is halting at 'Arafah'); gathering symbolises equality; also evokes the Day of Judgment.</w:t>
      </w:r>
    </w:p>
    <w:p>
      <w:pPr>
        <w:pStyle w:val="ListParagraph"/>
        <w:numPr>
          <w:ilvl w:val="0"/>
          <w:numId w:val="1"/>
        </w:numPr>
        <w:spacing w:after="60"/>
      </w:pPr>
      <w:r>
        <w:t xml:space="preserve">Eid-ul-Adha: 10th of Dhu al-Hijja; marks completion of Hajj and commemorates Ibrahim and Isma'il's willing sacrifice; animal sacrifice as symbol of obedience (piety, not blood/flesh, reaches God); Salat ul-Eid; brings families/communities together.</w:t>
      </w:r>
    </w:p>
    <w:p>
      <w:pPr>
        <w:pStyle w:val="ListParagraph"/>
        <w:numPr>
          <w:ilvl w:val="0"/>
          <w:numId w:val="1"/>
        </w:numPr>
        <w:spacing w:after="60"/>
      </w:pPr>
      <w:r>
        <w:t xml:space="preserve">(b) Hajj obligatory once for those with means/health — God does not overburden; performing it once eases the burden for later generations; the Prophet performed his own Hajj late in life, suggesting spiritual maturity as a factor.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b/>
      <w:bCs/>
      <w:color w:val="1F2A44"/>
      <w:sz w:val="30"/>
      <w:szCs w:val="30"/>
    </w:rPr>
  </w:style>
  <w:style w:type="paragraph" w:styleId="Heading2">
    <w:name w:val="Heading 2"/>
    <w:basedOn w:val="Normal"/>
    <w:next w:val="Normal"/>
    <w:qFormat/>
    <w:pPr>
      <w:spacing w:after="120" w:before="240"/>
    </w:pPr>
    <w:rPr>
      <w:b/>
      <w:bCs/>
      <w:color w:val="1F2A44"/>
      <w:sz w:val="26"/>
      <w:szCs w:val="26"/>
    </w:rPr>
  </w:style>
  <w:style w:type="paragraph" w:styleId="Heading3">
    <w:name w:val="Heading 3"/>
    <w:basedOn w:val="Normal"/>
    <w:next w:val="Normal"/>
    <w:qFormat/>
    <w:pPr>
      <w:spacing w:after="90" w:before="180"/>
    </w:pPr>
    <w:rPr>
      <w:b/>
      <w:bCs/>
      <w:color w:val="2E5A8C"/>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2026-07-23T19:06:21.969Z</dcterms:created>
  <dcterms:modified xsi:type="dcterms:W3CDTF">2026-07-23T19:06:21.986Z</dcterms:modified>
</cp:coreProperties>
</file>

<file path=docProps/custom.xml><?xml version="1.0" encoding="utf-8"?>
<Properties xmlns="http://schemas.openxmlformats.org/officeDocument/2006/custom-properties" xmlns:vt="http://schemas.openxmlformats.org/officeDocument/2006/docPropsVTypes"/>
</file>