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Cryptographic Protection and Acceptable Encryption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Establish approved uses of encryption and cryptographic services so that sensitive information is protected without creating unmanaged keys, unsupported algorithms, or inaccessible business records.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workforce members, systems, applications, endpoints, services, removable media, backups, and third parties that create, store, process, or transmit {{org.legal_name}} information.</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Security shall maintain an approved cryptography standard that identifies permitted algorithms, protocols, key sizes, certificate profiles, and implementation conditions.</w:t>
      </w:r>
    </w:p>
    <w:p>
      <w:pPr>
        <w:keepNext w:val="0"/>
        <w:keepLines w:val="0"/>
        <w:numPr>
          <w:ilvl w:val="0"/>
          <w:numId w:val="10"/>
        </w:numPr>
        <w:spacing w:before="0" w:after="160" w:line="280" w:lineRule="auto"/>
      </w:pPr>
      <w:r>
        <w:rPr>
          <w:rFonts w:ascii="Calibri" w:hAnsi="Calibri" w:eastAsia="Calibri"/>
          <w:color w:val="000000"/>
          <w:sz w:val="22"/>
        </w:rPr>
        <w:t>Regulated data, controlled unclassified information (CUI), credentials, secrets, and other data classified as restricted shall be encrypted in transit and at rest where required by law, contract, risk treatment, or the data-classification standard.</w:t>
      </w:r>
    </w:p>
    <w:p>
      <w:pPr>
        <w:keepNext w:val="0"/>
        <w:keepLines w:val="0"/>
        <w:numPr>
          <w:ilvl w:val="0"/>
          <w:numId w:val="10"/>
        </w:numPr>
        <w:spacing w:before="0" w:after="160" w:line="280" w:lineRule="auto"/>
      </w:pPr>
      <w:r>
        <w:rPr>
          <w:rFonts w:ascii="Calibri" w:hAnsi="Calibri" w:eastAsia="Calibri"/>
          <w:color w:val="000000"/>
          <w:sz w:val="22"/>
        </w:rPr>
        <w:t>Cryptographic modules used to protect CUI shall meet applicable federal requirements, including validated modules when required by contract or regulation.</w:t>
      </w:r>
    </w:p>
    <w:p>
      <w:pPr>
        <w:keepNext w:val="0"/>
        <w:keepLines w:val="0"/>
        <w:numPr>
          <w:ilvl w:val="0"/>
          <w:numId w:val="10"/>
        </w:numPr>
        <w:spacing w:before="0" w:after="160" w:line="280" w:lineRule="auto"/>
      </w:pPr>
      <w:r>
        <w:rPr>
          <w:rFonts w:ascii="Calibri" w:hAnsi="Calibri" w:eastAsia="Calibri"/>
          <w:color w:val="000000"/>
          <w:sz w:val="22"/>
        </w:rPr>
        <w:t>Unapproved or obsolete protocols, self-created ciphers, hard-coded secrets, and shared private keys are prohibited unless a time-bound exception is approved.</w:t>
      </w:r>
    </w:p>
    <w:p>
      <w:pPr>
        <w:keepNext w:val="0"/>
        <w:keepLines w:val="0"/>
        <w:numPr>
          <w:ilvl w:val="0"/>
          <w:numId w:val="10"/>
        </w:numPr>
        <w:spacing w:before="0" w:after="160" w:line="280" w:lineRule="auto"/>
      </w:pPr>
      <w:r>
        <w:rPr>
          <w:rFonts w:ascii="Calibri" w:hAnsi="Calibri" w:eastAsia="Calibri"/>
          <w:color w:val="000000"/>
          <w:sz w:val="22"/>
        </w:rPr>
        <w:t>Keys and certificates shall have named owners, defined validity periods, protected storage, rotation and revocation processes, recovery arrangements where appropriate, and documented destruction.</w:t>
      </w:r>
    </w:p>
    <w:p>
      <w:pPr>
        <w:keepNext w:val="0"/>
        <w:keepLines w:val="0"/>
        <w:numPr>
          <w:ilvl w:val="0"/>
          <w:numId w:val="10"/>
        </w:numPr>
        <w:spacing w:before="0" w:after="160" w:line="280" w:lineRule="auto"/>
      </w:pPr>
      <w:r>
        <w:rPr>
          <w:rFonts w:ascii="Calibri" w:hAnsi="Calibri" w:eastAsia="Calibri"/>
          <w:color w:val="000000"/>
          <w:sz w:val="22"/>
        </w:rPr>
        <w:t>Encryption shall not be used to conceal prohibited activity or prevent authorized monitoring, discovery, continuity, or incident-response functions.</w:t>
      </w:r>
    </w:p>
    <w:p>
      <w:pPr>
        <w:keepNext w:val="0"/>
        <w:keepLines w:val="0"/>
        <w:numPr>
          <w:ilvl w:val="0"/>
          <w:numId w:val="10"/>
        </w:numPr>
        <w:spacing w:before="0" w:after="160" w:line="280" w:lineRule="auto"/>
      </w:pPr>
      <w:r>
        <w:rPr>
          <w:rFonts w:ascii="Calibri" w:hAnsi="Calibri" w:eastAsia="Calibri"/>
          <w:color w:val="000000"/>
          <w:sz w:val="22"/>
        </w:rPr>
        <w:t>Technology owners shall test recovery before relying on encrypted backups or archives and shall prevent keys from being stored with the encrypted data they protect unless an approved managed service enforces separation.</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Approved cryptography standard</w:t>
      </w:r>
    </w:p>
    <w:p>
      <w:pPr>
        <w:keepNext w:val="0"/>
        <w:keepLines w:val="0"/>
        <w:numPr>
          <w:ilvl w:val="0"/>
          <w:numId w:val="10"/>
        </w:numPr>
        <w:spacing w:before="0" w:after="160" w:line="280" w:lineRule="auto"/>
      </w:pPr>
      <w:r>
        <w:rPr>
          <w:rFonts w:ascii="Calibri" w:hAnsi="Calibri" w:eastAsia="Calibri"/>
          <w:color w:val="000000"/>
          <w:sz w:val="22"/>
        </w:rPr>
        <w:t>Key and certificate inventory</w:t>
      </w:r>
    </w:p>
    <w:p>
      <w:pPr>
        <w:keepNext w:val="0"/>
        <w:keepLines w:val="0"/>
        <w:numPr>
          <w:ilvl w:val="0"/>
          <w:numId w:val="10"/>
        </w:numPr>
        <w:spacing w:before="0" w:after="160" w:line="280" w:lineRule="auto"/>
      </w:pPr>
      <w:r>
        <w:rPr>
          <w:rFonts w:ascii="Calibri" w:hAnsi="Calibri" w:eastAsia="Calibri"/>
          <w:color w:val="000000"/>
          <w:sz w:val="22"/>
        </w:rPr>
        <w:t>Module validation evidence where required</w:t>
      </w:r>
    </w:p>
    <w:p>
      <w:pPr>
        <w:keepNext w:val="0"/>
        <w:keepLines w:val="0"/>
        <w:numPr>
          <w:ilvl w:val="0"/>
          <w:numId w:val="10"/>
        </w:numPr>
        <w:spacing w:before="0" w:after="160" w:line="280" w:lineRule="auto"/>
      </w:pPr>
      <w:r>
        <w:rPr>
          <w:rFonts w:ascii="Calibri" w:hAnsi="Calibri" w:eastAsia="Calibri"/>
          <w:color w:val="000000"/>
          <w:sz w:val="22"/>
        </w:rPr>
        <w:t>Key rotation/revocation logs</w:t>
      </w:r>
    </w:p>
    <w:p>
      <w:pPr>
        <w:keepNext w:val="0"/>
        <w:keepLines w:val="0"/>
        <w:numPr>
          <w:ilvl w:val="0"/>
          <w:numId w:val="10"/>
        </w:numPr>
        <w:spacing w:before="0" w:after="160" w:line="280" w:lineRule="auto"/>
      </w:pPr>
      <w:r>
        <w:rPr>
          <w:rFonts w:ascii="Calibri" w:hAnsi="Calibri" w:eastAsia="Calibri"/>
          <w:color w:val="000000"/>
          <w:sz w:val="22"/>
        </w:rPr>
        <w:t>Encryption configuration evidence</w:t>
      </w:r>
    </w:p>
    <w:p>
      <w:pPr>
        <w:keepNext w:val="0"/>
        <w:keepLines w:val="0"/>
        <w:numPr>
          <w:ilvl w:val="0"/>
          <w:numId w:val="10"/>
        </w:numPr>
        <w:spacing w:before="0" w:after="160" w:line="280" w:lineRule="auto"/>
      </w:pPr>
      <w:r>
        <w:rPr>
          <w:rFonts w:ascii="Calibri" w:hAnsi="Calibri" w:eastAsia="Calibri"/>
          <w:color w:val="000000"/>
          <w:sz w:val="22"/>
        </w:rPr>
        <w:t>Approved exceptions</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Percentage of in-scope systems using approved encryption</w:t>
      </w:r>
    </w:p>
    <w:p>
      <w:pPr>
        <w:keepNext w:val="0"/>
        <w:keepLines w:val="0"/>
        <w:numPr>
          <w:ilvl w:val="0"/>
          <w:numId w:val="10"/>
        </w:numPr>
        <w:spacing w:before="0" w:after="160" w:line="280" w:lineRule="auto"/>
      </w:pPr>
      <w:r>
        <w:rPr>
          <w:rFonts w:ascii="Calibri" w:hAnsi="Calibri" w:eastAsia="Calibri"/>
          <w:color w:val="000000"/>
          <w:sz w:val="22"/>
        </w:rPr>
        <w:t>Expired or unowned certificates</w:t>
      </w:r>
    </w:p>
    <w:p>
      <w:pPr>
        <w:keepNext w:val="0"/>
        <w:keepLines w:val="0"/>
        <w:numPr>
          <w:ilvl w:val="0"/>
          <w:numId w:val="10"/>
        </w:numPr>
        <w:spacing w:before="0" w:after="160" w:line="280" w:lineRule="auto"/>
      </w:pPr>
      <w:r>
        <w:rPr>
          <w:rFonts w:ascii="Calibri" w:hAnsi="Calibri" w:eastAsia="Calibri"/>
          <w:color w:val="000000"/>
          <w:sz w:val="22"/>
        </w:rPr>
        <w:t>Key-rotation exceptions past due</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SC.L2-3.13.8, SC.L2-3.13.10, SC.L2-3.13.11, SC.L2-3.13.16; confirm applicability in the SSP.</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800-175B Rev. 1, Guideline for Cryptographic Standards and Key Management: https://doi.org/10.6028/NIST.SP.800-175Br1</w:t>
      </w:r>
    </w:p>
    <w:p>
      <w:pPr>
        <w:keepNext w:val="0"/>
        <w:keepLines w:val="0"/>
        <w:numPr>
          <w:ilvl w:val="0"/>
          <w:numId w:val="10"/>
        </w:numPr>
        <w:spacing w:before="0" w:after="160" w:line="280" w:lineRule="auto"/>
      </w:pPr>
      <w:r>
        <w:rPr>
          <w:rFonts w:ascii="Calibri" w:hAnsi="Calibri" w:eastAsia="Calibri"/>
          <w:color w:val="000000"/>
          <w:sz w:val="22"/>
        </w:rPr>
        <w:t>FIPS 140-3, Security Requirements for Cryptographic Modules: https://doi.org/10.6028/NIST.FIPS.140-3</w:t>
      </w:r>
    </w:p>
    <w:p>
      <w:pPr>
        <w:keepNext w:val="0"/>
        <w:keepLines w:val="0"/>
        <w:numPr>
          <w:ilvl w:val="0"/>
          <w:numId w:val="10"/>
        </w:numPr>
        <w:spacing w:before="0" w:after="160" w:line="280" w:lineRule="auto"/>
      </w:pPr>
      <w:r>
        <w:rPr>
          <w:rFonts w:ascii="Calibri" w:hAnsi="Calibri" w:eastAsia="Calibri"/>
          <w:color w:val="000000"/>
          <w:sz w:val="22"/>
        </w:rPr>
        <w:t>NIST SP 800-57 Part 1 Rev. 5, Key Management: https://doi.org/10.6028/NIST.SP.800-57pt1r5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Cryptographic Protection and Acceptable Encryption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