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360"/>
        <w:jc w:val="left"/>
        <w:tblLayout w:type="fixed"/>
        <w:tblLook w:firstColumn="1" w:firstRow="1" w:lastColumn="0" w:lastRow="0" w:noHBand="0" w:noVBand="1" w:val="04A0"/>
        <w:tblInd w:w="0" w:type="dxa"/>
      </w:tblPr>
      <w:tblGrid>
        <w:gridCol w:w="6480"/>
        <w:gridCol w:w="2880"/>
      </w:tblGrid>
      <w:tr>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b/>
                <w:color w:val="0B2545"/>
                <w:sz w:val="24"/>
              </w:rPr>
              <w:t>{{org.legal_name}}</w:t>
            </w:r>
          </w:p>
        </w:tc>
        <w:tc>
          <w:tcPr>
            <w:tcW w:type="dxa" w:w="2880"/>
            <w:vAlign w:val="center"/>
            <w:tcMar>
              <w:top w:w="80" w:type="dxa"/>
              <w:start w:w="120" w:type="dxa"/>
              <w:bottom w:w="80" w:type="dxa"/>
              <w:end w:w="120" w:type="dxa"/>
            </w:tcMar>
            <w:shd w:fill="F2F4F7" w:val="clear"/>
          </w:tcPr>
          <w:p>
            <w:pPr>
              <w:keepNext w:val="0"/>
              <w:keepLines w:val="0"/>
              <w:spacing w:before="0" w:after="0" w:line="240" w:lineRule="auto"/>
              <w:jc w:val="center"/>
            </w:pPr>
            <w:r>
              <w:rPr>
                <w:rFonts w:ascii="Calibri" w:hAnsi="Calibri" w:eastAsia="Calibri"/>
                <w:b/>
                <w:color w:val="59636E"/>
                <w:sz w:val="18"/>
              </w:rPr>
              <w:t>{{org.logo}}</w:t>
            </w:r>
          </w:p>
        </w:tc>
      </w:tr>
    </w:tbl>
    <w:p>
      <w:pPr>
        <w:keepNext w:val="0"/>
        <w:keepLines w:val="0"/>
        <w:spacing w:before="240" w:after="60" w:line="240" w:lineRule="auto"/>
      </w:pPr>
      <w:r>
        <w:rPr>
          <w:rFonts w:ascii="Calibri" w:hAnsi="Calibri" w:eastAsia="Calibri"/>
          <w:b/>
          <w:color w:val="2E74B5"/>
          <w:sz w:val="18"/>
        </w:rPr>
        <w:t>POLICY</w:t>
      </w:r>
    </w:p>
    <w:p>
      <w:pPr>
        <w:keepNext/>
        <w:keepLines w:val="0"/>
        <w:spacing w:before="0" w:after="100" w:line="240" w:lineRule="auto"/>
      </w:pPr>
      <w:r>
        <w:rPr>
          <w:rFonts w:ascii="Calibri" w:hAnsi="Calibri" w:eastAsia="Calibri"/>
          <w:b/>
          <w:color w:val="0B2545"/>
          <w:sz w:val="46"/>
        </w:rPr>
        <w:t>Technology and Information Acceptable Use Policy</w:t>
      </w:r>
    </w:p>
    <w:p>
      <w:pPr>
        <w:keepNext w:val="0"/>
        <w:keepLines w:val="0"/>
        <w:spacing w:before="0" w:after="280" w:line="240" w:lineRule="auto"/>
      </w:pPr>
      <w:r>
        <w:rPr>
          <w:rFonts w:ascii="Calibri" w:hAnsi="Calibri" w:eastAsia="Calibri"/>
          <w:i/>
          <w:color w:val="59636E"/>
          <w:sz w:val="20"/>
        </w:rPr>
        <w:t>{{doc.title}} — {{doc.template_key}} v{{doc.version}}</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1440"/>
        <w:gridCol w:w="3240"/>
        <w:gridCol w:w="1440"/>
        <w:gridCol w:w="3240"/>
      </w:tblGrid>
      <w:tr>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Document ID</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{{doc.document_id}}</w:t>
            </w:r>
          </w:p>
        </w:tc>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Version</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{{doc.version}}</w:t>
            </w:r>
          </w:p>
        </w:tc>
      </w:tr>
      <w:tr>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Policy Owner</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{{doc.owner_name}}</w:t>
            </w:r>
          </w:p>
        </w:tc>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Approver</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{{doc.approver_name}}</w:t>
            </w:r>
          </w:p>
        </w:tc>
      </w:tr>
      <w:tr>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Effective Date</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{{doc.effective_date}}</w:t>
            </w:r>
          </w:p>
        </w:tc>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Next Review</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{{doc.next_review_date}}</w:t>
            </w:r>
          </w:p>
        </w:tc>
      </w:tr>
      <w:tr>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Classification</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{{doc.classification}}</w:t>
            </w:r>
          </w:p>
        </w:tc>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Review Cycle</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{{doc.review_cycle}}</w:t>
            </w:r>
          </w:p>
        </w:tc>
      </w:tr>
    </w:tbl>
    <w:p>
      <w:pPr>
        <w:pStyle w:val="Heading1"/>
        <w:keepNext/>
      </w:pPr>
      <w:r>
        <w:t>1. Purpose</w:t>
      </w:r>
    </w:p>
    <w:p>
      <w:pPr>
        <w:keepNext w:val="0"/>
        <w:keepLines w:val="0"/>
        <w:spacing w:before="0" w:after="120" w:line="264" w:lineRule="auto"/>
      </w:pPr>
      <w:r>
        <w:rPr>
          <w:rFonts w:ascii="Calibri" w:hAnsi="Calibri" w:eastAsia="Calibri"/>
          <w:color w:val="000000"/>
          <w:sz w:val="22"/>
        </w:rPr>
        <w:t>Define authorized, safe, and responsible use of organizational accounts, devices, networks, applications, and information.</w:t>
      </w:r>
    </w:p>
    <w:p>
      <w:pPr>
        <w:pStyle w:val="Heading1"/>
        <w:keepNext/>
      </w:pPr>
      <w:r>
        <w:t>2. Scope and Applicability</w:t>
      </w:r>
    </w:p>
    <w:p>
      <w:pPr>
        <w:keepNext w:val="0"/>
        <w:keepLines w:val="0"/>
        <w:spacing w:before="0" w:after="120" w:line="264" w:lineRule="auto"/>
      </w:pPr>
      <w:r>
        <w:rPr>
          <w:rFonts w:ascii="Calibri" w:hAnsi="Calibri" w:eastAsia="Calibri"/>
          <w:color w:val="000000"/>
          <w:sz w:val="22"/>
        </w:rPr>
        <w:t>Applies to employees, contractors, interns, volunteers, vendors, and other authorized users of {{org.legal_name}} technology or information, including personally owned devices when organizational access is permitted.</w:t>
      </w:r>
    </w:p>
    <w:p>
      <w:pPr>
        <w:pStyle w:val="Heading1"/>
        <w:keepNext/>
      </w:pPr>
      <w:r>
        <w:t>3. Policy Requirements</w:t>
      </w:r>
    </w:p>
    <w:p>
      <w:pPr>
        <w:keepNext w:val="0"/>
        <w:keepLines w:val="0"/>
        <w:numPr>
          <w:ilvl w:val="0"/>
          <w:numId w:val="10"/>
        </w:numPr>
        <w:spacing w:before="0" w:after="160" w:line="280" w:lineRule="auto"/>
      </w:pPr>
      <w:r>
        <w:rPr>
          <w:rFonts w:ascii="Calibri" w:hAnsi="Calibri" w:eastAsia="Calibri"/>
          <w:color w:val="000000"/>
          <w:sz w:val="22"/>
        </w:rPr>
        <w:t>Organizational technology shall be used primarily for authorized business purposes; limited personal use may be allowed when it is lawful, reasonable, does not create risk or cost, and does not interfere with work.</w:t>
      </w:r>
    </w:p>
    <w:p>
      <w:pPr>
        <w:keepNext w:val="0"/>
        <w:keepLines w:val="0"/>
        <w:numPr>
          <w:ilvl w:val="0"/>
          <w:numId w:val="10"/>
        </w:numPr>
        <w:spacing w:before="0" w:after="160" w:line="280" w:lineRule="auto"/>
      </w:pPr>
      <w:r>
        <w:rPr>
          <w:rFonts w:ascii="Calibri" w:hAnsi="Calibri" w:eastAsia="Calibri"/>
          <w:color w:val="000000"/>
          <w:sz w:val="22"/>
        </w:rPr>
        <w:t>Users shall access only information and services for which they have authorization and shall not share accounts, authentication factors, badges, tokens, or session access.</w:t>
      </w:r>
    </w:p>
    <w:p>
      <w:pPr>
        <w:keepNext w:val="0"/>
        <w:keepLines w:val="0"/>
        <w:numPr>
          <w:ilvl w:val="0"/>
          <w:numId w:val="10"/>
        </w:numPr>
        <w:spacing w:before="0" w:after="160" w:line="280" w:lineRule="auto"/>
      </w:pPr>
      <w:r>
        <w:rPr>
          <w:rFonts w:ascii="Calibri" w:hAnsi="Calibri" w:eastAsia="Calibri"/>
          <w:color w:val="000000"/>
          <w:sz w:val="22"/>
        </w:rPr>
        <w:t>Users shall protect devices and information from loss, disclosure, tampering, and unauthorized observation, and shall promptly report suspected compromise, misdelivery, loss, or policy violations.</w:t>
      </w:r>
    </w:p>
    <w:p>
      <w:pPr>
        <w:keepNext w:val="0"/>
        <w:keepLines w:val="0"/>
        <w:numPr>
          <w:ilvl w:val="0"/>
          <w:numId w:val="10"/>
        </w:numPr>
        <w:spacing w:before="0" w:after="160" w:line="280" w:lineRule="auto"/>
      </w:pPr>
      <w:r>
        <w:rPr>
          <w:rFonts w:ascii="Calibri" w:hAnsi="Calibri" w:eastAsia="Calibri"/>
          <w:color w:val="000000"/>
          <w:sz w:val="22"/>
        </w:rPr>
        <w:t>Installing unapproved software, bypassing security controls, disabling monitoring, connecting unauthorized equipment, or moving data to unapproved storage or artificial-intelligence services is prohibited.</w:t>
      </w:r>
    </w:p>
    <w:p>
      <w:pPr>
        <w:keepNext w:val="0"/>
        <w:keepLines w:val="0"/>
        <w:numPr>
          <w:ilvl w:val="0"/>
          <w:numId w:val="10"/>
        </w:numPr>
        <w:spacing w:before="0" w:after="160" w:line="280" w:lineRule="auto"/>
      </w:pPr>
      <w:r>
        <w:rPr>
          <w:rFonts w:ascii="Calibri" w:hAnsi="Calibri" w:eastAsia="Calibri"/>
          <w:color w:val="000000"/>
          <w:sz w:val="22"/>
        </w:rPr>
        <w:t>Harassment, fraud, illegal activity, intellectual-property infringement, malicious code, unauthorized scanning, and attempts to gain elevated access are prohibited.</w:t>
      </w:r>
    </w:p>
    <w:p>
      <w:pPr>
        <w:keepNext w:val="0"/>
        <w:keepLines w:val="0"/>
        <w:numPr>
          <w:ilvl w:val="0"/>
          <w:numId w:val="10"/>
        </w:numPr>
        <w:spacing w:before="0" w:after="160" w:line="280" w:lineRule="auto"/>
      </w:pPr>
      <w:r>
        <w:rPr>
          <w:rFonts w:ascii="Calibri" w:hAnsi="Calibri" w:eastAsia="Calibri"/>
          <w:color w:val="000000"/>
          <w:sz w:val="22"/>
        </w:rPr>
        <w:t>Users shall have no expectation of privacy in organizational systems to the extent permitted by law and disclosed by {{org.legal_name}}; monitoring shall be authorized, proportionate, and handled by approved personnel.</w:t>
      </w:r>
    </w:p>
    <w:p>
      <w:pPr>
        <w:keepNext w:val="0"/>
        <w:keepLines w:val="0"/>
        <w:numPr>
          <w:ilvl w:val="0"/>
          <w:numId w:val="10"/>
        </w:numPr>
        <w:spacing w:before="0" w:after="160" w:line="280" w:lineRule="auto"/>
      </w:pPr>
      <w:r>
        <w:rPr>
          <w:rFonts w:ascii="Calibri" w:hAnsi="Calibri" w:eastAsia="Calibri"/>
          <w:color w:val="000000"/>
          <w:sz w:val="22"/>
        </w:rPr>
        <w:t>Business records shall be retained, transferred, and disposed of under approved records-management and legal-hold requirements.</w:t>
      </w:r>
    </w:p>
    <w:p>
      <w:pPr>
        <w:pStyle w:val="Heading1"/>
        <w:keepNext/>
      </w:pPr>
      <w:r>
        <w:t>4. Roles and Responsibilities</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2700"/>
        <w:gridCol w:w="6660"/>
      </w:tblGrid>
      <w:tr>
        <w:tc>
          <w:tcPr>
            <w:tcW w:type="dxa" w:w="27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Role</w:t>
            </w:r>
          </w:p>
        </w:tc>
        <w:tc>
          <w:tcPr>
            <w:tcW w:type="dxa" w:w="666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Responsibilities</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Human Resources</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Issue acknowledgments and coordinate employment actions.</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Security</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Define safe-use requirements and investigate suspected misuse.</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Managers</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Confirm access is appropriate for assigned work.</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Users</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Comply, protect access, and report concerns immediately.</w:t>
            </w:r>
          </w:p>
        </w:tc>
      </w:tr>
    </w:tbl>
    <w:p>
      <w:pPr>
        <w:pStyle w:val="Heading1"/>
        <w:keepNext/>
      </w:pPr>
      <w:r>
        <w:t>5. Required Procedures, Evidence, and Records</w:t>
      </w:r>
    </w:p>
    <w:p>
      <w:pPr>
        <w:keepNext w:val="0"/>
        <w:keepLines w:val="0"/>
        <w:spacing w:before="0" w:after="120" w:line="264" w:lineRule="auto"/>
      </w:pPr>
      <w:r>
        <w:rPr>
          <w:rFonts w:ascii="Calibri" w:hAnsi="Calibri" w:eastAsia="Calibri"/>
          <w:color w:val="000000"/>
          <w:sz w:val="22"/>
        </w:rPr>
        <w:t>The policy owner shall ensure the following artifacts are created, retained, protected, and made available to authorized reviewers for the period defined by {{implementation.retention_period}}:</w:t>
      </w:r>
    </w:p>
    <w:p>
      <w:pPr>
        <w:keepNext w:val="0"/>
        <w:keepLines w:val="0"/>
        <w:numPr>
          <w:ilvl w:val="0"/>
          <w:numId w:val="10"/>
        </w:numPr>
        <w:spacing w:before="0" w:after="160" w:line="280" w:lineRule="auto"/>
      </w:pPr>
      <w:r>
        <w:rPr>
          <w:rFonts w:ascii="Calibri" w:hAnsi="Calibri" w:eastAsia="Calibri"/>
          <w:color w:val="000000"/>
          <w:sz w:val="22"/>
        </w:rPr>
        <w:t>Signed or electronically acknowledged policy</w:t>
      </w:r>
    </w:p>
    <w:p>
      <w:pPr>
        <w:keepNext w:val="0"/>
        <w:keepLines w:val="0"/>
        <w:numPr>
          <w:ilvl w:val="0"/>
          <w:numId w:val="10"/>
        </w:numPr>
        <w:spacing w:before="0" w:after="160" w:line="280" w:lineRule="auto"/>
      </w:pPr>
      <w:r>
        <w:rPr>
          <w:rFonts w:ascii="Calibri" w:hAnsi="Calibri" w:eastAsia="Calibri"/>
          <w:color w:val="000000"/>
          <w:sz w:val="22"/>
        </w:rPr>
        <w:t>Acceptable-use training completion</w:t>
      </w:r>
    </w:p>
    <w:p>
      <w:pPr>
        <w:keepNext w:val="0"/>
        <w:keepLines w:val="0"/>
        <w:numPr>
          <w:ilvl w:val="0"/>
          <w:numId w:val="10"/>
        </w:numPr>
        <w:spacing w:before="0" w:after="160" w:line="280" w:lineRule="auto"/>
      </w:pPr>
      <w:r>
        <w:rPr>
          <w:rFonts w:ascii="Calibri" w:hAnsi="Calibri" w:eastAsia="Calibri"/>
          <w:color w:val="000000"/>
          <w:sz w:val="22"/>
        </w:rPr>
        <w:t>Approved software/service register</w:t>
      </w:r>
    </w:p>
    <w:p>
      <w:pPr>
        <w:keepNext w:val="0"/>
        <w:keepLines w:val="0"/>
        <w:numPr>
          <w:ilvl w:val="0"/>
          <w:numId w:val="10"/>
        </w:numPr>
        <w:spacing w:before="0" w:after="160" w:line="280" w:lineRule="auto"/>
      </w:pPr>
      <w:r>
        <w:rPr>
          <w:rFonts w:ascii="Calibri" w:hAnsi="Calibri" w:eastAsia="Calibri"/>
          <w:color w:val="000000"/>
          <w:sz w:val="22"/>
        </w:rPr>
        <w:t>Reported violations and disposition</w:t>
      </w:r>
    </w:p>
    <w:p>
      <w:pPr>
        <w:keepNext w:val="0"/>
        <w:keepLines w:val="0"/>
        <w:numPr>
          <w:ilvl w:val="0"/>
          <w:numId w:val="10"/>
        </w:numPr>
        <w:spacing w:before="0" w:after="160" w:line="280" w:lineRule="auto"/>
      </w:pPr>
      <w:r>
        <w:rPr>
          <w:rFonts w:ascii="Calibri" w:hAnsi="Calibri" w:eastAsia="Calibri"/>
          <w:color w:val="000000"/>
          <w:sz w:val="22"/>
        </w:rPr>
        <w:t>Authorized monitoring notice</w:t>
      </w:r>
    </w:p>
    <w:p>
      <w:pPr>
        <w:pStyle w:val="Heading1"/>
        <w:keepNext/>
      </w:pPr>
      <w:r>
        <w:t>6. Monitoring and Review</w:t>
      </w:r>
    </w:p>
    <w:p>
      <w:pPr>
        <w:keepNext w:val="0"/>
        <w:keepLines w:val="0"/>
        <w:spacing w:before="0" w:after="120" w:line="264" w:lineRule="auto"/>
      </w:pPr>
      <w:r>
        <w:rPr>
          <w:rFonts w:ascii="Calibri" w:hAnsi="Calibri" w:eastAsia="Calibri"/>
          <w:color w:val="000000"/>
          <w:sz w:val="22"/>
        </w:rPr>
        <w:t>At minimum, the policy owner shall review the following indicators at {{implementation.defined_frequency}} and escalate material deficiencies:</w:t>
      </w:r>
    </w:p>
    <w:p>
      <w:pPr>
        <w:keepNext w:val="0"/>
        <w:keepLines w:val="0"/>
        <w:numPr>
          <w:ilvl w:val="0"/>
          <w:numId w:val="10"/>
        </w:numPr>
        <w:spacing w:before="0" w:after="160" w:line="280" w:lineRule="auto"/>
      </w:pPr>
      <w:r>
        <w:rPr>
          <w:rFonts w:ascii="Calibri" w:hAnsi="Calibri" w:eastAsia="Calibri"/>
          <w:color w:val="000000"/>
          <w:sz w:val="22"/>
        </w:rPr>
        <w:t>Acknowledgment completion rate</w:t>
      </w:r>
    </w:p>
    <w:p>
      <w:pPr>
        <w:keepNext w:val="0"/>
        <w:keepLines w:val="0"/>
        <w:numPr>
          <w:ilvl w:val="0"/>
          <w:numId w:val="10"/>
        </w:numPr>
        <w:spacing w:before="0" w:after="160" w:line="280" w:lineRule="auto"/>
      </w:pPr>
      <w:r>
        <w:rPr>
          <w:rFonts w:ascii="Calibri" w:hAnsi="Calibri" w:eastAsia="Calibri"/>
          <w:color w:val="000000"/>
          <w:sz w:val="22"/>
        </w:rPr>
        <w:t>Unapproved software or service findings</w:t>
      </w:r>
    </w:p>
    <w:p>
      <w:pPr>
        <w:keepNext w:val="0"/>
        <w:keepLines w:val="0"/>
        <w:numPr>
          <w:ilvl w:val="0"/>
          <w:numId w:val="10"/>
        </w:numPr>
        <w:spacing w:before="0" w:after="160" w:line="280" w:lineRule="auto"/>
      </w:pPr>
      <w:r>
        <w:rPr>
          <w:rFonts w:ascii="Calibri" w:hAnsi="Calibri" w:eastAsia="Calibri"/>
          <w:color w:val="000000"/>
          <w:sz w:val="22"/>
        </w:rPr>
        <w:t>Repeat acceptable-use violations</w:t>
      </w:r>
    </w:p>
    <w:p>
      <w:pPr>
        <w:keepNext w:val="0"/>
        <w:keepLines w:val="0"/>
        <w:spacing w:before="0" w:after="120" w:line="264" w:lineRule="auto"/>
      </w:pPr>
      <w:r>
        <w:rPr>
          <w:rFonts w:ascii="Calibri" w:hAnsi="Calibri" w:eastAsia="Calibri"/>
          <w:color w:val="000000"/>
          <w:sz w:val="22"/>
        </w:rPr>
        <w:t>This document shall be reviewed at least annually and after a material incident, legal or contractual change, control failure, technology change, or significant change to the system boundary or operating model.</w:t>
      </w:r>
    </w:p>
    <w:p>
      <w:pPr>
        <w:pStyle w:val="Heading1"/>
        <w:keepNext/>
      </w:pPr>
      <w:r>
        <w:t>7. Exceptions</w:t>
      </w:r>
    </w:p>
    <w:p>
      <w:pPr>
        <w:keepNext w:val="0"/>
        <w:keepLines w:val="0"/>
        <w:spacing w:before="0" w:after="120" w:line="264" w:lineRule="auto"/>
      </w:pPr>
      <w:r>
        <w:rPr>
          <w:rFonts w:ascii="Calibri" w:hAnsi="Calibri" w:eastAsia="Calibri"/>
          <w:color w:val="000000"/>
          <w:sz w:val="22"/>
        </w:rPr>
        <w:t>Exceptions require a written request identifying the affected scope, business need, risk, compensating safeguards, accountable owner, approval authority, start date, expiration date, and review cadence. Exceptions shall be tracked to expiration and do not transfer responsibility for applicable legal, contractual, or CMMC requirements.</w:t>
      </w:r>
    </w:p>
    <w:p>
      <w:pPr>
        <w:pStyle w:val="Heading1"/>
        <w:keepNext/>
      </w:pPr>
      <w:r>
        <w:t>8. Compliance and Enforcement</w:t>
      </w:r>
    </w:p>
    <w:p>
      <w:pPr>
        <w:keepNext w:val="0"/>
        <w:keepLines w:val="0"/>
        <w:spacing w:before="0" w:after="120" w:line="264" w:lineRule="auto"/>
      </w:pPr>
      <w:r>
        <w:rPr>
          <w:rFonts w:ascii="Calibri" w:hAnsi="Calibri" w:eastAsia="Calibri"/>
          <w:color w:val="000000"/>
          <w:sz w:val="22"/>
        </w:rPr>
        <w:t>Failure to comply may result in access restriction, corrective action, contract remedies, or disciplinary action consistent with law and organizational policy. Suspected violations shall be reported through {{implementation.reporting_channel}}. Compliance does not by itself establish certification; effectiveness must be demonstrated through implementation and evidence.</w:t>
      </w:r>
    </w:p>
    <w:p>
      <w:pPr>
        <w:pStyle w:val="Heading1"/>
        <w:keepNext/>
      </w:pPr>
      <w:r>
        <w:t>9. Organization Implementation Parameters</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2880"/>
        <w:gridCol w:w="6480"/>
      </w:tblGrid>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In-Scope Systems / Processes</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{{scope.summary}} Boundary: {{scope.boundary}}. Included locations: {{scope.included_locations}}. Excluded locations: {{scope.excluded_locations}}. Systems: {{scope.systems}}. Data flow: {{scope.data_flow}}.</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Responsible Team</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{{implementation.responsible_team}}</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Required Procedures</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{{implementation.procedure_location}}</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Technology / Control Location</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{{implementation.control_location}}</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Evidence Repository</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{{implementation.repository}}</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Review and Test Frequency</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{{implementation.review_trigger}}</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Reporting Channel</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{{implementation.reporting_channel}}</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Records Retention</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{{implementation.retention_period}}</w:t>
            </w:r>
          </w:p>
        </w:tc>
      </w:tr>
    </w:tbl>
    <w:p>
      <w:r>
        <w:br w:type="page"/>
      </w:r>
    </w:p>
    <w:p>
      <w:pPr>
        <w:pStyle w:val="Heading1"/>
        <w:keepNext/>
      </w:pPr>
      <w:r>
        <w:t>10. Control Alignment and Tailoring</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2700"/>
        <w:gridCol w:w="6660"/>
      </w:tblGrid>
      <w:tr>
        <w:tc>
          <w:tcPr>
            <w:tcW w:type="dxa" w:w="27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Suggested control alignment</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color w:val="000000"/>
                <w:sz w:val="19"/>
              </w:rPr>
              <w:t>CMMC: AC.L1-3.1.1, AC.L1-3.1.2, AC.L1-3.1.20, IA.L1-3.5.1, MP.L1-3.8.3; supports multiple Level 2 practices.</w:t>
            </w:r>
          </w:p>
        </w:tc>
      </w:tr>
      <w:tr>
        <w:tc>
          <w:tcPr>
            <w:tcW w:type="dxa" w:w="27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Applicability decision</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color w:val="000000"/>
                <w:sz w:val="19"/>
              </w:rPr>
              <w:t>Applicable unless the documented system scope and operating model support a formally approved Not Applicable determination.</w:t>
            </w:r>
          </w:p>
        </w:tc>
      </w:tr>
      <w:tr>
        <w:tc>
          <w:tcPr>
            <w:tcW w:type="dxa" w:w="27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Tailoring requirement</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color w:val="000000"/>
                <w:sz w:val="19"/>
              </w:rPr>
              <w:t>The policy owner shall define organization-selected values, map system-specific procedures and evidence, and obtain approval before publication.</w:t>
            </w:r>
          </w:p>
        </w:tc>
      </w:tr>
    </w:tbl>
    <w:p>
      <w:pPr>
        <w:pStyle w:val="Heading1"/>
        <w:keepNext/>
      </w:pPr>
      <w:r>
        <w:t>11. References</w:t>
      </w:r>
    </w:p>
    <w:p>
      <w:pPr>
        <w:keepNext w:val="0"/>
        <w:keepLines w:val="0"/>
        <w:numPr>
          <w:ilvl w:val="0"/>
          <w:numId w:val="10"/>
        </w:numPr>
        <w:spacing w:before="0" w:after="160" w:line="280" w:lineRule="auto"/>
      </w:pPr>
      <w:r>
        <w:rPr>
          <w:rFonts w:ascii="Calibri" w:hAnsi="Calibri" w:eastAsia="Calibri"/>
          <w:color w:val="000000"/>
          <w:sz w:val="22"/>
        </w:rPr>
        <w:t>NIST SP 800-171 Rev. 2, Protecting CUI in Nonfederal Systems: https://doi.org/10.6028/NIST.SP.800-171r2</w:t>
      </w:r>
    </w:p>
    <w:p>
      <w:pPr>
        <w:keepNext w:val="0"/>
        <w:keepLines w:val="0"/>
        <w:numPr>
          <w:ilvl w:val="0"/>
          <w:numId w:val="10"/>
        </w:numPr>
        <w:spacing w:before="0" w:after="160" w:line="280" w:lineRule="auto"/>
      </w:pPr>
      <w:r>
        <w:rPr>
          <w:rFonts w:ascii="Calibri" w:hAnsi="Calibri" w:eastAsia="Calibri"/>
          <w:color w:val="000000"/>
          <w:sz w:val="22"/>
        </w:rPr>
        <w:t>NIST SP 800-53 Rev. 5, Security and Privacy Controls: https://doi.org/10.6028/NIST.SP.800-53r5</w:t>
      </w:r>
    </w:p>
    <w:p>
      <w:pPr>
        <w:keepNext w:val="0"/>
        <w:keepLines w:val="0"/>
        <w:numPr>
          <w:ilvl w:val="0"/>
          <w:numId w:val="10"/>
        </w:numPr>
        <w:spacing w:before="0" w:after="160" w:line="280" w:lineRule="auto"/>
      </w:pPr>
      <w:r>
        <w:rPr>
          <w:rFonts w:ascii="Calibri" w:hAnsi="Calibri" w:eastAsia="Calibri"/>
          <w:color w:val="000000"/>
          <w:sz w:val="22"/>
        </w:rPr>
        <w:t>NIST Cybersecurity Framework (CSF) 2.0: https://doi.org/10.6028/NIST.CSWP.29</w:t>
      </w:r>
    </w:p>
    <w:p>
      <w:pPr>
        <w:pStyle w:val="Heading1"/>
        <w:keepNext/>
      </w:pPr>
      <w:r>
        <w:t>12. Revision History</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1260"/>
        <w:gridCol w:w="1800"/>
        <w:gridCol w:w="4500"/>
        <w:gridCol w:w="1800"/>
      </w:tblGrid>
      <w:tr>
        <w:tc>
          <w:tcPr>
            <w:tcW w:type="dxa" w:w="126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Version</w:t>
            </w:r>
          </w:p>
        </w:tc>
        <w:tc>
          <w:tcPr>
            <w:tcW w:type="dxa" w:w="18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Date</w:t>
            </w:r>
          </w:p>
        </w:tc>
        <w:tc>
          <w:tcPr>
            <w:tcW w:type="dxa" w:w="45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Description</w:t>
            </w:r>
          </w:p>
        </w:tc>
        <w:tc>
          <w:tcPr>
            <w:tcW w:type="dxa" w:w="18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Author / Approver</w:t>
            </w:r>
          </w:p>
        </w:tc>
      </w:tr>
      <w:tr>
        <w:tc>
          <w:tcPr>
            <w:tcW w:type="dxa" w:w="126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{{doc.version}}</w:t>
            </w:r>
          </w:p>
        </w:tc>
        <w:tc>
          <w:tcPr>
            <w:tcW w:type="dxa" w:w="18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{{revision.date}}</w:t>
            </w:r>
          </w:p>
        </w:tc>
        <w:tc>
          <w:tcPr>
            <w:tcW w:type="dxa" w:w="45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Initial approved issue / {{revision.summary}}</w:t>
            </w:r>
          </w:p>
        </w:tc>
        <w:tc>
          <w:tcPr>
            <w:tcW w:type="dxa" w:w="18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{{revision.author}}</w:t>
            </w:r>
          </w:p>
        </w:tc>
      </w:tr>
    </w:tbl>
    <w:p>
      <w:pPr>
        <w:pStyle w:val="Heading1"/>
        <w:keepNext/>
      </w:pPr>
      <w:r>
        <w:t>13. Approval</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3960"/>
        <w:gridCol w:w="3000"/>
        <w:gridCol w:w="2400"/>
      </w:tblGrid>
      <w:tr>
        <w:tc>
          <w:tcPr>
            <w:tcW w:type="dxa" w:w="396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Name and Title</w:t>
            </w:r>
          </w:p>
        </w:tc>
        <w:tc>
          <w:tcPr>
            <w:tcW w:type="dxa" w:w="30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Signature / Approval Record</w:t>
            </w:r>
          </w:p>
        </w:tc>
        <w:tc>
          <w:tcPr>
            <w:tcW w:type="dxa" w:w="24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Date</w:t>
            </w:r>
          </w:p>
        </w:tc>
      </w:tr>
      <w:tr>
        <w:tc>
          <w:tcPr>
            <w:tcW w:type="dxa" w:w="396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{{doc.approver_name}}</w:t>
            </w:r>
          </w:p>
        </w:tc>
        <w:tc>
          <w:tcPr>
            <w:tcW w:type="dxa" w:w="30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{{approval.record_id}}</w:t>
            </w:r>
          </w:p>
        </w:tc>
        <w:tc>
          <w:tcPr>
            <w:tcW w:type="dxa" w:w="24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{{approval.date}}</w:t>
            </w:r>
          </w:p>
        </w:tc>
      </w:tr>
    </w:tbl>
    <w:p>
      <w:pPr>
        <w:pStyle w:val="Heading1"/>
        <w:keepNext/>
      </w:pPr>
      <w:r>
        <w:t>14. Publication Checklist</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9360"/>
      </w:tblGrid>
      <w:tr>
        <w:tc>
          <w:tcPr>
            <w:tcW w:type="dxa" w:w="9360"/>
            <w:vAlign w:val="center"/>
            <w:tcMar>
              <w:top w:w="80" w:type="dxa"/>
              <w:start w:w="120" w:type="dxa"/>
              <w:bottom w:w="80" w:type="dxa"/>
              <w:end w:w="120" w:type="dxa"/>
            </w:tcMar>
            <w:shd w:fill="F2F4F7" w:val="clear"/>
          </w:tcPr>
          <w:p>
            <w:pPr>
              <w:keepNext w:val="0"/>
              <w:keepLines w:val="0"/>
              <w:spacing w:before="0" w:after="0" w:line="240" w:lineRule="auto"/>
            </w:pPr>
            <w:r>
              <w:rPr>
                <w:rFonts w:ascii="Calibri" w:hAnsi="Calibri" w:eastAsia="Calibri"/>
                <w:color w:val="000000"/>
                <w:sz w:val="18"/>
              </w:rPr>
              <w:t>☐  All organization-selected values have been completed and verified.</w:t>
            </w:r>
          </w:p>
        </w:tc>
      </w:tr>
      <w:tr>
        <w:tc>
          <w:tcPr>
            <w:tcW w:type="dxa" w:w="936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  The owner, approver, effective date, review date, classification, and version are correct.</w:t>
            </w:r>
          </w:p>
        </w:tc>
      </w:tr>
      <w:tr>
        <w:tc>
          <w:tcPr>
            <w:tcW w:type="dxa" w:w="9360"/>
            <w:vAlign w:val="center"/>
            <w:tcMar>
              <w:top w:w="80" w:type="dxa"/>
              <w:start w:w="120" w:type="dxa"/>
              <w:bottom w:w="80" w:type="dxa"/>
              <w:end w:w="120" w:type="dxa"/>
            </w:tcMar>
            <w:shd w:fill="F2F4F7" w:val="clear"/>
          </w:tcPr>
          <w:p>
            <w:pPr>
              <w:keepNext w:val="0"/>
              <w:keepLines w:val="0"/>
              <w:spacing w:before="0" w:after="0" w:line="240" w:lineRule="auto"/>
            </w:pPr>
            <w:r>
              <w:rPr>
                <w:rFonts w:ascii="Calibri" w:hAnsi="Calibri" w:eastAsia="Calibri"/>
                <w:color w:val="000000"/>
                <w:sz w:val="18"/>
              </w:rPr>
              <w:t>☐  Scope and any Not Applicable decision match the current SSP and assessment boundary.</w:t>
            </w:r>
          </w:p>
        </w:tc>
      </w:tr>
      <w:tr>
        <w:tc>
          <w:tcPr>
            <w:tcW w:type="dxa" w:w="936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  Required procedures, configurations, operational tests, and evidence locations have been validated.</w:t>
            </w:r>
          </w:p>
        </w:tc>
      </w:tr>
      <w:tr>
        <w:tc>
          <w:tcPr>
            <w:tcW w:type="dxa" w:w="9360"/>
            <w:vAlign w:val="center"/>
            <w:tcMar>
              <w:top w:w="80" w:type="dxa"/>
              <w:start w:w="120" w:type="dxa"/>
              <w:bottom w:w="80" w:type="dxa"/>
              <w:end w:w="120" w:type="dxa"/>
            </w:tcMar>
            <w:shd w:fill="F2F4F7" w:val="clear"/>
          </w:tcPr>
          <w:p>
            <w:pPr>
              <w:keepNext w:val="0"/>
              <w:keepLines w:val="0"/>
              <w:spacing w:before="0" w:after="0" w:line="240" w:lineRule="auto"/>
            </w:pPr>
            <w:r>
              <w:rPr>
                <w:rFonts w:ascii="Calibri" w:hAnsi="Calibri" w:eastAsia="Calibri"/>
                <w:color w:val="000000"/>
                <w:sz w:val="18"/>
              </w:rPr>
              <w:t>☐  Approval is recorded and the controlled version is ready for publication and workforce communication.</w:t>
            </w:r>
          </w:p>
        </w:tc>
      </w:tr>
    </w:tbl>
    <w:sectPr>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val="0"/>
      <w:spacing w:before="0" w:after="0" w:line="240" w:lineRule="auto"/>
      <w:jc w:val="center"/>
    </w:pPr>
    <w:r>
      <w:rPr>
        <w:rFonts w:ascii="Calibri" w:hAnsi="Calibri" w:eastAsia="Calibri"/>
        <w:color w:val="59636E"/>
        <w:sz w:val="17"/>
      </w:rPr>
      <w:t xml:space="preserve">{{org.legal_name}}  |  {{doc.document_id}}  |  Version {{doc.version}}  |  Page 1 of 1</w:t>
    </w:r>
    <w:r>
      <w:rPr>
        <w:rFonts w:ascii="Calibri" w:hAnsi="Calibri" w:eastAsia="Calibri"/>
        <w:color w:val="59636E"/>
        <w:sz w:val="17"/>
      </w:rPr>
      <w:fldChar w:fldCharType="begin"/>
      <w:instrText xml:space="preserve"> PAGE </w:instrText>
      <w:fldChar w:fldCharType="separate"/>
      <w:t xml:space="preserve"/>
      <w:fldChar w:fldCharType="end"/>
    </w:r>
    <w:r>
      <w:rPr>
        <w:rFonts w:ascii="Calibri" w:hAnsi="Calibri" w:eastAsia="Calibri"/>
        <w:color w:val="59636E"/>
        <w:sz w:val="17"/>
      </w:rPr>
      <w:t xml:space="preserve"/>
    </w:r>
    <w:r>
      <w:rPr>
        <w:rFonts w:ascii="Calibri" w:hAnsi="Calibri" w:eastAsia="Calibri"/>
        <w:color w:val="59636E"/>
        <w:sz w:val="17"/>
      </w:rPr>
      <w:fldChar w:fldCharType="begin"/>
      <w:instrText xml:space="preserve"> NUMPAGES </w:instrText>
      <w:fldChar w:fldCharType="separate"/>
      <w:t xml:space="preserv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val="0"/>
      <w:spacing w:before="0" w:after="0" w:line="240" w:lineRule="auto"/>
      <w:jc w:val="left"/>
    </w:pPr>
    <w:r>
      <w:rPr>
        <w:rFonts w:ascii="Calibri" w:hAnsi="Calibri" w:eastAsia="Calibri"/>
        <w:b/>
        <w:color w:val="59636E"/>
        <w:sz w:val="17"/>
      </w:rPr>
      <w:t>{{org.legal_name}}  |  Policy  |  {{doc.document_id}}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spacing w:after="160" w:line="280" w:lineRule="auto"/>
      </w:pPr>
      <w:rPr>
        <w:rFonts w:ascii="Calibri" w:hAnsi="Calibri"/>
      </w:r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Technology and Information Acceptable Use Policy</dc:title>
  <dc:subject> cybersecurity policy template</dc:subject>
  <dc:creator/>
  <cp:keywords> policy template</cp:keywords>
  <dc:description>generated by python-docx</dc:description>
  <cp:lastModifiedBy/>
  <cp:revision>1</cp:revision>
  <dcterms:created xsi:type="dcterms:W3CDTF">2013-12-23T23:15:00Z</dcterms:created>
  <dcterms:modified xsi:type="dcterms:W3CDTF">2013-12-23T23:15:00Z</dcterms:modified>
  <cp:category/>
</cp:coreProperties>
</file>