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Technology Acquisition Security Assessment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Require security, privacy, resilience, and supply-chain review before acquiring or materially changing technology products and services.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purchases, subscriptions, trials, renewals, integrations, outsourced development, managed services, cloud services, and technology obtained without charge when it will access organizational data or systems.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Requestors shall submit a security intake before purchase, commitment, trial, connection, or data transfer.</w:t>
      </w:r>
    </w:p>
    <w:p>
      <w:pPr>
        <w:keepNext w:val="0"/>
        <w:keepLines w:val="0"/>
        <w:numPr>
          <w:ilvl w:val="0"/>
          <w:numId w:val="10"/>
        </w:numPr>
        <w:spacing w:before="0" w:after="160" w:line="280" w:lineRule="auto"/>
      </w:pPr>
      <w:r>
        <w:rPr>
          <w:rFonts w:ascii="Calibri" w:hAnsi="Calibri" w:eastAsia="Calibri"/>
          <w:color w:val="000000"/>
          <w:sz w:val="22"/>
        </w:rPr>
        <w:t>Risk review shall consider data sensitivity, access privileges, hosting locations, subcontractors, software provenance, secure-development practices, vulnerability management, incident notification, continuity, exit, and data return or destruction.</w:t>
      </w:r>
    </w:p>
    <w:p>
      <w:pPr>
        <w:keepNext w:val="0"/>
        <w:keepLines w:val="0"/>
        <w:numPr>
          <w:ilvl w:val="0"/>
          <w:numId w:val="10"/>
        </w:numPr>
        <w:spacing w:before="0" w:after="160" w:line="280" w:lineRule="auto"/>
      </w:pPr>
      <w:r>
        <w:rPr>
          <w:rFonts w:ascii="Calibri" w:hAnsi="Calibri" w:eastAsia="Calibri"/>
          <w:color w:val="000000"/>
          <w:sz w:val="22"/>
        </w:rPr>
        <w:t>Legal, privacy, records, export-control, and contractual requirements shall be reviewed by the responsible functions before approval.</w:t>
      </w:r>
    </w:p>
    <w:p>
      <w:pPr>
        <w:keepNext w:val="0"/>
        <w:keepLines w:val="0"/>
        <w:numPr>
          <w:ilvl w:val="0"/>
          <w:numId w:val="10"/>
        </w:numPr>
        <w:spacing w:before="0" w:after="160" w:line="280" w:lineRule="auto"/>
      </w:pPr>
      <w:r>
        <w:rPr>
          <w:rFonts w:ascii="Calibri" w:hAnsi="Calibri" w:eastAsia="Calibri"/>
          <w:color w:val="000000"/>
          <w:sz w:val="22"/>
        </w:rPr>
        <w:t>High-risk suppliers and critical services shall receive enhanced due diligence, documented risk acceptance, security contract clauses, and periodic reassessment.</w:t>
      </w:r>
    </w:p>
    <w:p>
      <w:pPr>
        <w:keepNext w:val="0"/>
        <w:keepLines w:val="0"/>
        <w:numPr>
          <w:ilvl w:val="0"/>
          <w:numId w:val="10"/>
        </w:numPr>
        <w:spacing w:before="0" w:after="160" w:line="280" w:lineRule="auto"/>
      </w:pPr>
      <w:r>
        <w:rPr>
          <w:rFonts w:ascii="Calibri" w:hAnsi="Calibri" w:eastAsia="Calibri"/>
          <w:color w:val="000000"/>
          <w:sz w:val="22"/>
        </w:rPr>
        <w:t>Contracts shall define minimum safeguards, breach notification, evidence rights, change notification, data ownership, retention, secure deletion, and transition assistance as applicable.</w:t>
      </w:r>
    </w:p>
    <w:p>
      <w:pPr>
        <w:keepNext w:val="0"/>
        <w:keepLines w:val="0"/>
        <w:numPr>
          <w:ilvl w:val="0"/>
          <w:numId w:val="10"/>
        </w:numPr>
        <w:spacing w:before="0" w:after="160" w:line="280" w:lineRule="auto"/>
      </w:pPr>
      <w:r>
        <w:rPr>
          <w:rFonts w:ascii="Calibri" w:hAnsi="Calibri" w:eastAsia="Calibri"/>
          <w:color w:val="000000"/>
          <w:sz w:val="22"/>
        </w:rPr>
        <w:t>Technology may not enter production until required findings are remediated, accepted by the authorized risk owner, or covered by an approved implementation plan.</w:t>
      </w:r>
    </w:p>
    <w:p>
      <w:pPr>
        <w:keepNext w:val="0"/>
        <w:keepLines w:val="0"/>
        <w:numPr>
          <w:ilvl w:val="0"/>
          <w:numId w:val="10"/>
        </w:numPr>
        <w:spacing w:before="0" w:after="160" w:line="280" w:lineRule="auto"/>
      </w:pPr>
      <w:r>
        <w:rPr>
          <w:rFonts w:ascii="Calibri" w:hAnsi="Calibri" w:eastAsia="Calibri"/>
          <w:color w:val="000000"/>
          <w:sz w:val="22"/>
        </w:rPr>
        <w:t>The service owner shall maintain an inventory record, monitor material changes, and initiate offboarding when the relationship ends.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Requestor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Provide the business need, data flow, users, integrations, and timeline.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Procurement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Prevent commitment before required approvals and retain contracts.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and Privacy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Assess risk and specify safeguards.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Risk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Accept only documented residual risk within delegated authority.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Security intake</w:t>
      </w:r>
    </w:p>
    <w:p>
      <w:pPr>
        <w:keepNext w:val="0"/>
        <w:keepLines w:val="0"/>
        <w:numPr>
          <w:ilvl w:val="0"/>
          <w:numId w:val="10"/>
        </w:numPr>
        <w:spacing w:before="0" w:after="160" w:line="280" w:lineRule="auto"/>
      </w:pPr>
      <w:r>
        <w:rPr>
          <w:rFonts w:ascii="Calibri" w:hAnsi="Calibri" w:eastAsia="Calibri"/>
          <w:color w:val="000000"/>
          <w:sz w:val="22"/>
        </w:rPr>
        <w:t>Supplier risk assessment</w:t>
      </w:r>
    </w:p>
    <w:p>
      <w:pPr>
        <w:keepNext w:val="0"/>
        <w:keepLines w:val="0"/>
        <w:numPr>
          <w:ilvl w:val="0"/>
          <w:numId w:val="10"/>
        </w:numPr>
        <w:spacing w:before="0" w:after="160" w:line="280" w:lineRule="auto"/>
      </w:pPr>
      <w:r>
        <w:rPr>
          <w:rFonts w:ascii="Calibri" w:hAnsi="Calibri" w:eastAsia="Calibri"/>
          <w:color w:val="000000"/>
          <w:sz w:val="22"/>
        </w:rPr>
        <w:t>Due-diligence evidence</w:t>
      </w:r>
    </w:p>
    <w:p>
      <w:pPr>
        <w:keepNext w:val="0"/>
        <w:keepLines w:val="0"/>
        <w:numPr>
          <w:ilvl w:val="0"/>
          <w:numId w:val="10"/>
        </w:numPr>
        <w:spacing w:before="0" w:after="160" w:line="280" w:lineRule="auto"/>
      </w:pPr>
      <w:r>
        <w:rPr>
          <w:rFonts w:ascii="Calibri" w:hAnsi="Calibri" w:eastAsia="Calibri"/>
          <w:color w:val="000000"/>
          <w:sz w:val="22"/>
        </w:rPr>
        <w:t>Approved contract clauses</w:t>
      </w:r>
    </w:p>
    <w:p>
      <w:pPr>
        <w:keepNext w:val="0"/>
        <w:keepLines w:val="0"/>
        <w:numPr>
          <w:ilvl w:val="0"/>
          <w:numId w:val="10"/>
        </w:numPr>
        <w:spacing w:before="0" w:after="160" w:line="280" w:lineRule="auto"/>
      </w:pPr>
      <w:r>
        <w:rPr>
          <w:rFonts w:ascii="Calibri" w:hAnsi="Calibri" w:eastAsia="Calibri"/>
          <w:color w:val="000000"/>
          <w:sz w:val="22"/>
        </w:rPr>
        <w:t>Risk acceptance or remediation plan</w:t>
      </w:r>
    </w:p>
    <w:p>
      <w:pPr>
        <w:keepNext w:val="0"/>
        <w:keepLines w:val="0"/>
        <w:numPr>
          <w:ilvl w:val="0"/>
          <w:numId w:val="10"/>
        </w:numPr>
        <w:spacing w:before="0" w:after="160" w:line="280" w:lineRule="auto"/>
      </w:pPr>
      <w:r>
        <w:rPr>
          <w:rFonts w:ascii="Calibri" w:hAnsi="Calibri" w:eastAsia="Calibri"/>
          <w:color w:val="000000"/>
          <w:sz w:val="22"/>
        </w:rPr>
        <w:t>Reassessment and offboarding records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Purchases assessed before commitment</w:t>
      </w:r>
    </w:p>
    <w:p>
      <w:pPr>
        <w:keepNext w:val="0"/>
        <w:keepLines w:val="0"/>
        <w:numPr>
          <w:ilvl w:val="0"/>
          <w:numId w:val="10"/>
        </w:numPr>
        <w:spacing w:before="0" w:after="160" w:line="280" w:lineRule="auto"/>
      </w:pPr>
      <w:r>
        <w:rPr>
          <w:rFonts w:ascii="Calibri" w:hAnsi="Calibri" w:eastAsia="Calibri"/>
          <w:color w:val="000000"/>
          <w:sz w:val="22"/>
        </w:rPr>
        <w:t>High-risk suppliers reassessed on time</w:t>
      </w:r>
    </w:p>
    <w:p>
      <w:pPr>
        <w:keepNext w:val="0"/>
        <w:keepLines w:val="0"/>
        <w:numPr>
          <w:ilvl w:val="0"/>
          <w:numId w:val="10"/>
        </w:numPr>
        <w:spacing w:before="0" w:after="160" w:line="280" w:lineRule="auto"/>
      </w:pPr>
      <w:r>
        <w:rPr>
          <w:rFonts w:ascii="Calibri" w:hAnsi="Calibri" w:eastAsia="Calibri"/>
          <w:color w:val="000000"/>
          <w:sz w:val="22"/>
        </w:rPr>
        <w:t>Open supplier findings past due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CA.L2-3.12.1, RA.L2-3.11.1, SA.L2-3.12.4 (SSP dependencies); map supplier services in the system boundary.</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800-161 Rev. 1, Cybersecurity Supply Chain Risk Management: https://doi.org/10.6028/NIST.SP.800-161r1-upd1</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Acquisition Security Assessment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