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Legacy Analog and ISDN Line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Control security risks created by analog telephone lines, ISDN, modems, fax devices, alarm circuits, and other legacy communications paths that can bypass managed network boundaries.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wherever {{org.legal_name}} owns, leases, manages, or authorizes legacy telecommunications lines or devices connected to facilities, systems, or information assets.</w:t>
      </w:r>
    </w:p>
    <w:p>
      <w:pPr>
        <w:keepNext w:val="0"/>
        <w:keepLines w:val="0"/>
        <w:spacing w:before="0" w:after="120" w:line="264" w:lineRule="auto"/>
      </w:pPr>
      <w:r>
        <w:rPr>
          <w:rFonts w:ascii="Calibri" w:hAnsi="Calibri" w:eastAsia="Calibri"/>
          <w:b/>
          <w:color w:val="000000"/>
          <w:sz w:val="22"/>
        </w:rPr>
        <w:t xml:space="preserve">Not Applicable path. </w:t>
      </w:r>
      <w:r>
        <w:rPr>
          <w:rFonts w:ascii="Calibri" w:hAnsi="Calibri" w:eastAsia="Calibri"/>
          <w:color w:val="000000"/>
          <w:sz w:val="22"/>
        </w:rPr>
        <w:t>If no in-scope legacy lines or devices exist, document the search performed, responsible reviewer, date, supporting facility/network evidence, and approval of Not Applicable status.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All legacy lines and attached devices shall be inventoried with business purpose, location, owner, carrier, number or circuit identifier, connection path, and review date.</w:t>
      </w:r>
    </w:p>
    <w:p>
      <w:pPr>
        <w:keepNext w:val="0"/>
        <w:keepLines w:val="0"/>
        <w:numPr>
          <w:ilvl w:val="0"/>
          <w:numId w:val="10"/>
        </w:numPr>
        <w:spacing w:before="0" w:after="160" w:line="280" w:lineRule="auto"/>
      </w:pPr>
      <w:r>
        <w:rPr>
          <w:rFonts w:ascii="Calibri" w:hAnsi="Calibri" w:eastAsia="Calibri"/>
          <w:color w:val="000000"/>
          <w:sz w:val="22"/>
        </w:rPr>
        <w:t>New analog, ISDN, or modem connectivity requires documented security approval and shall not provide unmonitored access to an internal network.</w:t>
      </w:r>
    </w:p>
    <w:p>
      <w:pPr>
        <w:keepNext w:val="0"/>
        <w:keepLines w:val="0"/>
        <w:numPr>
          <w:ilvl w:val="0"/>
          <w:numId w:val="10"/>
        </w:numPr>
        <w:spacing w:before="0" w:after="160" w:line="280" w:lineRule="auto"/>
      </w:pPr>
      <w:r>
        <w:rPr>
          <w:rFonts w:ascii="Calibri" w:hAnsi="Calibri" w:eastAsia="Calibri"/>
          <w:color w:val="000000"/>
          <w:sz w:val="22"/>
        </w:rPr>
        <w:t>Remote maintenance shall use approved authentication, callback or equivalent restriction where supported, time-limited enablement, logging, and owner oversight.</w:t>
      </w:r>
    </w:p>
    <w:p>
      <w:pPr>
        <w:keepNext w:val="0"/>
        <w:keepLines w:val="0"/>
        <w:numPr>
          <w:ilvl w:val="0"/>
          <w:numId w:val="10"/>
        </w:numPr>
        <w:spacing w:before="0" w:after="160" w:line="280" w:lineRule="auto"/>
      </w:pPr>
      <w:r>
        <w:rPr>
          <w:rFonts w:ascii="Calibri" w:hAnsi="Calibri" w:eastAsia="Calibri"/>
          <w:color w:val="000000"/>
          <w:sz w:val="22"/>
        </w:rPr>
        <w:t>Default credentials, auto-answer features, unused ports, and unnecessary remote-management functions shall be disabled.</w:t>
      </w:r>
    </w:p>
    <w:p>
      <w:pPr>
        <w:keepNext w:val="0"/>
        <w:keepLines w:val="0"/>
        <w:numPr>
          <w:ilvl w:val="0"/>
          <w:numId w:val="10"/>
        </w:numPr>
        <w:spacing w:before="0" w:after="160" w:line="280" w:lineRule="auto"/>
      </w:pPr>
      <w:r>
        <w:rPr>
          <w:rFonts w:ascii="Calibri" w:hAnsi="Calibri" w:eastAsia="Calibri"/>
          <w:color w:val="000000"/>
          <w:sz w:val="22"/>
        </w:rPr>
        <w:t>Fax and multifunction devices shall protect stored images, address books, administrative access, and disposal media according to data sensitivity.</w:t>
      </w:r>
    </w:p>
    <w:p>
      <w:pPr>
        <w:keepNext w:val="0"/>
        <w:keepLines w:val="0"/>
        <w:numPr>
          <w:ilvl w:val="0"/>
          <w:numId w:val="10"/>
        </w:numPr>
        <w:spacing w:before="0" w:after="160" w:line="280" w:lineRule="auto"/>
      </w:pPr>
      <w:r>
        <w:rPr>
          <w:rFonts w:ascii="Calibri" w:hAnsi="Calibri" w:eastAsia="Calibri"/>
          <w:color w:val="000000"/>
          <w:sz w:val="22"/>
        </w:rPr>
        <w:t>Security shall periodically test for unauthorized modems, lines, or forwarding paths and shall disconnect unowned or unexplained services.</w:t>
      </w:r>
    </w:p>
    <w:p>
      <w:pPr>
        <w:keepNext w:val="0"/>
        <w:keepLines w:val="0"/>
        <w:numPr>
          <w:ilvl w:val="0"/>
          <w:numId w:val="10"/>
        </w:numPr>
        <w:spacing w:before="0" w:after="160" w:line="280" w:lineRule="auto"/>
      </w:pPr>
      <w:r>
        <w:rPr>
          <w:rFonts w:ascii="Calibri" w:hAnsi="Calibri" w:eastAsia="Calibri"/>
          <w:color w:val="000000"/>
          <w:sz w:val="22"/>
        </w:rPr>
        <w:t>Legacy connectivity shall be retired when the business purpose ends or a supported, managed alternative is available.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Legacy line and device inventory</w:t>
      </w:r>
    </w:p>
    <w:p>
      <w:pPr>
        <w:keepNext w:val="0"/>
        <w:keepLines w:val="0"/>
        <w:numPr>
          <w:ilvl w:val="0"/>
          <w:numId w:val="10"/>
        </w:numPr>
        <w:spacing w:before="0" w:after="160" w:line="280" w:lineRule="auto"/>
      </w:pPr>
      <w:r>
        <w:rPr>
          <w:rFonts w:ascii="Calibri" w:hAnsi="Calibri" w:eastAsia="Calibri"/>
          <w:color w:val="000000"/>
          <w:sz w:val="22"/>
        </w:rPr>
        <w:t>Connection diagram</w:t>
      </w:r>
    </w:p>
    <w:p>
      <w:pPr>
        <w:keepNext w:val="0"/>
        <w:keepLines w:val="0"/>
        <w:numPr>
          <w:ilvl w:val="0"/>
          <w:numId w:val="10"/>
        </w:numPr>
        <w:spacing w:before="0" w:after="160" w:line="280" w:lineRule="auto"/>
      </w:pPr>
      <w:r>
        <w:rPr>
          <w:rFonts w:ascii="Calibri" w:hAnsi="Calibri" w:eastAsia="Calibri"/>
          <w:color w:val="000000"/>
          <w:sz w:val="22"/>
        </w:rPr>
        <w:t>Authorization and risk review</w:t>
      </w:r>
    </w:p>
    <w:p>
      <w:pPr>
        <w:keepNext w:val="0"/>
        <w:keepLines w:val="0"/>
        <w:numPr>
          <w:ilvl w:val="0"/>
          <w:numId w:val="10"/>
        </w:numPr>
        <w:spacing w:before="0" w:after="160" w:line="280" w:lineRule="auto"/>
      </w:pPr>
      <w:r>
        <w:rPr>
          <w:rFonts w:ascii="Calibri" w:hAnsi="Calibri" w:eastAsia="Calibri"/>
          <w:color w:val="000000"/>
          <w:sz w:val="22"/>
        </w:rPr>
        <w:t>Configuration and test evidence</w:t>
      </w:r>
    </w:p>
    <w:p>
      <w:pPr>
        <w:keepNext w:val="0"/>
        <w:keepLines w:val="0"/>
        <w:numPr>
          <w:ilvl w:val="0"/>
          <w:numId w:val="10"/>
        </w:numPr>
        <w:spacing w:before="0" w:after="160" w:line="280" w:lineRule="auto"/>
      </w:pPr>
      <w:r>
        <w:rPr>
          <w:rFonts w:ascii="Calibri" w:hAnsi="Calibri" w:eastAsia="Calibri"/>
          <w:color w:val="000000"/>
          <w:sz w:val="22"/>
        </w:rPr>
        <w:t>Carrier bill reconciliation</w:t>
      </w:r>
    </w:p>
    <w:p>
      <w:pPr>
        <w:keepNext w:val="0"/>
        <w:keepLines w:val="0"/>
        <w:numPr>
          <w:ilvl w:val="0"/>
          <w:numId w:val="10"/>
        </w:numPr>
        <w:spacing w:before="0" w:after="160" w:line="280" w:lineRule="auto"/>
      </w:pPr>
      <w:r>
        <w:rPr>
          <w:rFonts w:ascii="Calibri" w:hAnsi="Calibri" w:eastAsia="Calibri"/>
          <w:color w:val="000000"/>
          <w:sz w:val="22"/>
        </w:rPr>
        <w:t>Retirement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Inventoried lines with current owners</w:t>
      </w:r>
    </w:p>
    <w:p>
      <w:pPr>
        <w:keepNext w:val="0"/>
        <w:keepLines w:val="0"/>
        <w:numPr>
          <w:ilvl w:val="0"/>
          <w:numId w:val="10"/>
        </w:numPr>
        <w:spacing w:before="0" w:after="160" w:line="280" w:lineRule="auto"/>
      </w:pPr>
      <w:r>
        <w:rPr>
          <w:rFonts w:ascii="Calibri" w:hAnsi="Calibri" w:eastAsia="Calibri"/>
          <w:color w:val="000000"/>
          <w:sz w:val="22"/>
        </w:rPr>
        <w:t>Unauthorized or unexplained lines</w:t>
      </w:r>
    </w:p>
    <w:p>
      <w:pPr>
        <w:keepNext w:val="0"/>
        <w:keepLines w:val="0"/>
        <w:numPr>
          <w:ilvl w:val="0"/>
          <w:numId w:val="10"/>
        </w:numPr>
        <w:spacing w:before="0" w:after="160" w:line="280" w:lineRule="auto"/>
      </w:pPr>
      <w:r>
        <w:rPr>
          <w:rFonts w:ascii="Calibri" w:hAnsi="Calibri" w:eastAsia="Calibri"/>
          <w:color w:val="000000"/>
          <w:sz w:val="22"/>
        </w:rPr>
        <w:t>Legacy services retired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AC.L2-3.1.12 through AC.L2-3.1.14; SC.L2-3.13.1 and SC.L2-3.13.5 where applicable.</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If no in-scope legacy lines or devices exist, document the search performed, responsible reviewer, date, supporting facility/network evidence, and approval of Not Applicable status.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Analog and ISDN Line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