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GUIDELINE</w:t>
      </w:r>
    </w:p>
    <w:p>
      <w:pPr>
        <w:keepNext/>
        <w:keepLines w:val="0"/>
        <w:spacing w:before="0" w:after="100" w:line="240" w:lineRule="auto"/>
      </w:pPr>
      <w:r>
        <w:rPr>
          <w:rFonts w:ascii="Calibri" w:hAnsi="Calibri" w:eastAsia="Calibri"/>
          <w:b/>
          <w:color w:val="0B2545"/>
          <w:sz w:val="46"/>
        </w:rPr>
        <w:t>Endpoint Anti-Malware Configuration Guidelines</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Provide implementation guidance for centrally managed anti-malware and endpoint detection controls.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supported workstations, laptops, servers, virtual desktops, mobile endpoints where supported, and other computing devices designated by risk assessment.</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Use an organization-approved, centrally managed endpoint protection platform with tamper protection enabled.</w:t>
      </w:r>
    </w:p>
    <w:p>
      <w:pPr>
        <w:keepNext w:val="0"/>
        <w:keepLines w:val="0"/>
        <w:numPr>
          <w:ilvl w:val="0"/>
          <w:numId w:val="10"/>
        </w:numPr>
        <w:spacing w:before="0" w:after="160" w:line="280" w:lineRule="auto"/>
      </w:pPr>
      <w:r>
        <w:rPr>
          <w:rFonts w:ascii="Calibri" w:hAnsi="Calibri" w:eastAsia="Calibri"/>
          <w:color w:val="000000"/>
          <w:sz w:val="22"/>
        </w:rPr>
        <w:t>Enable real-time inspection, behavioral protection, cloud-delivered protection where authorized, scanning of downloaded and removable content, and automatic security-intelligence updates.</w:t>
      </w:r>
    </w:p>
    <w:p>
      <w:pPr>
        <w:keepNext w:val="0"/>
        <w:keepLines w:val="0"/>
        <w:numPr>
          <w:ilvl w:val="0"/>
          <w:numId w:val="10"/>
        </w:numPr>
        <w:spacing w:before="0" w:after="160" w:line="280" w:lineRule="auto"/>
      </w:pPr>
      <w:r>
        <w:rPr>
          <w:rFonts w:ascii="Calibri" w:hAnsi="Calibri" w:eastAsia="Calibri"/>
          <w:color w:val="000000"/>
          <w:sz w:val="22"/>
        </w:rPr>
        <w:t>Schedule recurring scans based on platform capability and risk; ensure scanning does not create an unmanaged availability risk for critical systems.</w:t>
      </w:r>
    </w:p>
    <w:p>
      <w:pPr>
        <w:keepNext w:val="0"/>
        <w:keepLines w:val="0"/>
        <w:numPr>
          <w:ilvl w:val="0"/>
          <w:numId w:val="10"/>
        </w:numPr>
        <w:spacing w:before="0" w:after="160" w:line="280" w:lineRule="auto"/>
      </w:pPr>
      <w:r>
        <w:rPr>
          <w:rFonts w:ascii="Calibri" w:hAnsi="Calibri" w:eastAsia="Calibri"/>
          <w:color w:val="000000"/>
          <w:sz w:val="22"/>
        </w:rPr>
        <w:t>Define exclusions narrowly, document the technical justification and owner, test compensating controls, set an expiration date, and review exclusions at least quarterly.</w:t>
      </w:r>
    </w:p>
    <w:p>
      <w:pPr>
        <w:keepNext w:val="0"/>
        <w:keepLines w:val="0"/>
        <w:numPr>
          <w:ilvl w:val="0"/>
          <w:numId w:val="10"/>
        </w:numPr>
        <w:spacing w:before="0" w:after="160" w:line="280" w:lineRule="auto"/>
      </w:pPr>
      <w:r>
        <w:rPr>
          <w:rFonts w:ascii="Calibri" w:hAnsi="Calibri" w:eastAsia="Calibri"/>
          <w:color w:val="000000"/>
          <w:sz w:val="22"/>
        </w:rPr>
        <w:t>Quarantine or block detected malicious content and send high-severity alerts to the monitored security queue.</w:t>
      </w:r>
    </w:p>
    <w:p>
      <w:pPr>
        <w:keepNext w:val="0"/>
        <w:keepLines w:val="0"/>
        <w:numPr>
          <w:ilvl w:val="0"/>
          <w:numId w:val="10"/>
        </w:numPr>
        <w:spacing w:before="0" w:after="160" w:line="280" w:lineRule="auto"/>
      </w:pPr>
      <w:r>
        <w:rPr>
          <w:rFonts w:ascii="Calibri" w:hAnsi="Calibri" w:eastAsia="Calibri"/>
          <w:color w:val="000000"/>
          <w:sz w:val="22"/>
        </w:rPr>
        <w:t>Prevent standard users from disabling protection or changing centrally managed settings.</w:t>
      </w:r>
    </w:p>
    <w:p>
      <w:pPr>
        <w:keepNext w:val="0"/>
        <w:keepLines w:val="0"/>
        <w:numPr>
          <w:ilvl w:val="0"/>
          <w:numId w:val="10"/>
        </w:numPr>
        <w:spacing w:before="0" w:after="160" w:line="280" w:lineRule="auto"/>
      </w:pPr>
      <w:r>
        <w:rPr>
          <w:rFonts w:ascii="Calibri" w:hAnsi="Calibri" w:eastAsia="Calibri"/>
          <w:color w:val="000000"/>
          <w:sz w:val="22"/>
        </w:rPr>
        <w:t>Test alert delivery and response workflow with an approved harmless test artifact or vendor test function; do not deploy live malware.</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Endpoint coverage report</w:t>
      </w:r>
    </w:p>
    <w:p>
      <w:pPr>
        <w:keepNext w:val="0"/>
        <w:keepLines w:val="0"/>
        <w:numPr>
          <w:ilvl w:val="0"/>
          <w:numId w:val="10"/>
        </w:numPr>
        <w:spacing w:before="0" w:after="160" w:line="280" w:lineRule="auto"/>
      </w:pPr>
      <w:r>
        <w:rPr>
          <w:rFonts w:ascii="Calibri" w:hAnsi="Calibri" w:eastAsia="Calibri"/>
          <w:color w:val="000000"/>
          <w:sz w:val="22"/>
        </w:rPr>
        <w:t>Protection configuration export</w:t>
      </w:r>
    </w:p>
    <w:p>
      <w:pPr>
        <w:keepNext w:val="0"/>
        <w:keepLines w:val="0"/>
        <w:numPr>
          <w:ilvl w:val="0"/>
          <w:numId w:val="10"/>
        </w:numPr>
        <w:spacing w:before="0" w:after="160" w:line="280" w:lineRule="auto"/>
      </w:pPr>
      <w:r>
        <w:rPr>
          <w:rFonts w:ascii="Calibri" w:hAnsi="Calibri" w:eastAsia="Calibri"/>
          <w:color w:val="000000"/>
          <w:sz w:val="22"/>
        </w:rPr>
        <w:t>Update health report</w:t>
      </w:r>
    </w:p>
    <w:p>
      <w:pPr>
        <w:keepNext w:val="0"/>
        <w:keepLines w:val="0"/>
        <w:numPr>
          <w:ilvl w:val="0"/>
          <w:numId w:val="10"/>
        </w:numPr>
        <w:spacing w:before="0" w:after="160" w:line="280" w:lineRule="auto"/>
      </w:pPr>
      <w:r>
        <w:rPr>
          <w:rFonts w:ascii="Calibri" w:hAnsi="Calibri" w:eastAsia="Calibri"/>
          <w:color w:val="000000"/>
          <w:sz w:val="22"/>
        </w:rPr>
        <w:t>Exclusion register</w:t>
      </w:r>
    </w:p>
    <w:p>
      <w:pPr>
        <w:keepNext w:val="0"/>
        <w:keepLines w:val="0"/>
        <w:numPr>
          <w:ilvl w:val="0"/>
          <w:numId w:val="10"/>
        </w:numPr>
        <w:spacing w:before="0" w:after="160" w:line="280" w:lineRule="auto"/>
      </w:pPr>
      <w:r>
        <w:rPr>
          <w:rFonts w:ascii="Calibri" w:hAnsi="Calibri" w:eastAsia="Calibri"/>
          <w:color w:val="000000"/>
          <w:sz w:val="22"/>
        </w:rPr>
        <w:t>Detection/response tickets</w:t>
      </w:r>
    </w:p>
    <w:p>
      <w:pPr>
        <w:keepNext w:val="0"/>
        <w:keepLines w:val="0"/>
        <w:numPr>
          <w:ilvl w:val="0"/>
          <w:numId w:val="10"/>
        </w:numPr>
        <w:spacing w:before="0" w:after="160" w:line="280" w:lineRule="auto"/>
      </w:pPr>
      <w:r>
        <w:rPr>
          <w:rFonts w:ascii="Calibri" w:hAnsi="Calibri" w:eastAsia="Calibri"/>
          <w:color w:val="000000"/>
          <w:sz w:val="22"/>
        </w:rPr>
        <w:t>Periodic alert test</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Protected endpoints reporting healthy</w:t>
      </w:r>
    </w:p>
    <w:p>
      <w:pPr>
        <w:keepNext w:val="0"/>
        <w:keepLines w:val="0"/>
        <w:numPr>
          <w:ilvl w:val="0"/>
          <w:numId w:val="10"/>
        </w:numPr>
        <w:spacing w:before="0" w:after="160" w:line="280" w:lineRule="auto"/>
      </w:pPr>
      <w:r>
        <w:rPr>
          <w:rFonts w:ascii="Calibri" w:hAnsi="Calibri" w:eastAsia="Calibri"/>
          <w:color w:val="000000"/>
          <w:sz w:val="22"/>
        </w:rPr>
        <w:t>Signatures/intelligence current</w:t>
      </w:r>
    </w:p>
    <w:p>
      <w:pPr>
        <w:keepNext w:val="0"/>
        <w:keepLines w:val="0"/>
        <w:numPr>
          <w:ilvl w:val="0"/>
          <w:numId w:val="10"/>
        </w:numPr>
        <w:spacing w:before="0" w:after="160" w:line="280" w:lineRule="auto"/>
      </w:pPr>
      <w:r>
        <w:rPr>
          <w:rFonts w:ascii="Calibri" w:hAnsi="Calibri" w:eastAsia="Calibri"/>
          <w:color w:val="000000"/>
          <w:sz w:val="22"/>
        </w:rPr>
        <w:t>High-severity detections closed within target</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SI.L1-3.14.2, SI.L1-3.14.4, SI.L1-3.14.5; SI.L2-3.14.6 and SI.L2-3.14.7 as applicable.</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800-83 Rev. 1, Guide to Malware Incident Prevention and Handling: https://doi.org/10.6028/NIST.SP.800-83r1</w:t>
      </w:r>
    </w:p>
    <w:p>
      <w:pPr>
        <w:keepNext w:val="0"/>
        <w:keepLines w:val="0"/>
        <w:numPr>
          <w:ilvl w:val="0"/>
          <w:numId w:val="10"/>
        </w:numPr>
        <w:spacing w:before="0" w:after="160" w:line="280" w:lineRule="auto"/>
      </w:pPr>
      <w:r>
        <w:rPr>
          <w:rFonts w:ascii="Calibri" w:hAnsi="Calibri" w:eastAsia="Calibri"/>
          <w:color w:val="000000"/>
          <w:sz w:val="22"/>
        </w:rPr>
        <w:t>NIST Cybersecurity Framework (CSF) 2.0: https://doi.org/10.6028/NIST.CSWP.29</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Guideline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Endpoint Anti-Malware Configuration Guidelines</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