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Automatic Email Forwarding Control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Prevent uncontrolled disclosure, loss of retention, and bypass of security controls caused by automatic forwarding of organizational email.</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mailboxes, distribution services, inbox rules, transport rules, connectors, shared mailboxes, delegated accounts, and third-party automation that forwards or redirects organizational messages.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Automatic forwarding to external destinations shall be blocked by default.</w:t>
      </w:r>
    </w:p>
    <w:p>
      <w:pPr>
        <w:keepNext w:val="0"/>
        <w:keepLines w:val="0"/>
        <w:numPr>
          <w:ilvl w:val="0"/>
          <w:numId w:val="10"/>
        </w:numPr>
        <w:spacing w:before="0" w:after="160" w:line="280" w:lineRule="auto"/>
      </w:pPr>
      <w:r>
        <w:rPr>
          <w:rFonts w:ascii="Calibri" w:hAnsi="Calibri" w:eastAsia="Calibri"/>
          <w:color w:val="000000"/>
          <w:sz w:val="22"/>
        </w:rPr>
        <w:t>An exception requires a documented business purpose, data-sensitivity review, destination validation, owner, expiration date, and approval by Security and the data owner.</w:t>
      </w:r>
    </w:p>
    <w:p>
      <w:pPr>
        <w:keepNext w:val="0"/>
        <w:keepLines w:val="0"/>
        <w:numPr>
          <w:ilvl w:val="0"/>
          <w:numId w:val="10"/>
        </w:numPr>
        <w:spacing w:before="0" w:after="160" w:line="280" w:lineRule="auto"/>
      </w:pPr>
      <w:r>
        <w:rPr>
          <w:rFonts w:ascii="Calibri" w:hAnsi="Calibri" w:eastAsia="Calibri"/>
          <w:color w:val="000000"/>
          <w:sz w:val="22"/>
        </w:rPr>
        <w:t>Forwarding shall use organization-managed mechanisms that preserve logging, malware and phishing inspection, retention, legal hold, and data-loss controls.</w:t>
      </w:r>
    </w:p>
    <w:p>
      <w:pPr>
        <w:keepNext w:val="0"/>
        <w:keepLines w:val="0"/>
        <w:numPr>
          <w:ilvl w:val="0"/>
          <w:numId w:val="10"/>
        </w:numPr>
        <w:spacing w:before="0" w:after="160" w:line="280" w:lineRule="auto"/>
      </w:pPr>
      <w:r>
        <w:rPr>
          <w:rFonts w:ascii="Calibri" w:hAnsi="Calibri" w:eastAsia="Calibri"/>
          <w:color w:val="000000"/>
          <w:sz w:val="22"/>
        </w:rPr>
        <w:t>Forwarding to personal accounts, consumer storage, or unapproved collaboration services is prohibited.</w:t>
      </w:r>
    </w:p>
    <w:p>
      <w:pPr>
        <w:keepNext w:val="0"/>
        <w:keepLines w:val="0"/>
        <w:numPr>
          <w:ilvl w:val="0"/>
          <w:numId w:val="10"/>
        </w:numPr>
        <w:spacing w:before="0" w:after="160" w:line="280" w:lineRule="auto"/>
      </w:pPr>
      <w:r>
        <w:rPr>
          <w:rFonts w:ascii="Calibri" w:hAnsi="Calibri" w:eastAsia="Calibri"/>
          <w:color w:val="000000"/>
          <w:sz w:val="22"/>
        </w:rPr>
        <w:t>Administrators shall monitor for newly created forwarding rules, suspicious mailbox changes, anomalous destinations, and repeated policy violations.</w:t>
      </w:r>
    </w:p>
    <w:p>
      <w:pPr>
        <w:keepNext w:val="0"/>
        <w:keepLines w:val="0"/>
        <w:numPr>
          <w:ilvl w:val="0"/>
          <w:numId w:val="10"/>
        </w:numPr>
        <w:spacing w:before="0" w:after="160" w:line="280" w:lineRule="auto"/>
      </w:pPr>
      <w:r>
        <w:rPr>
          <w:rFonts w:ascii="Calibri" w:hAnsi="Calibri" w:eastAsia="Calibri"/>
          <w:color w:val="000000"/>
          <w:sz w:val="22"/>
        </w:rPr>
        <w:t>Approved forwarding shall be tested for intended scope and shall be removed when the business need or relationship ends.</w:t>
      </w:r>
    </w:p>
    <w:p>
      <w:pPr>
        <w:keepNext w:val="0"/>
        <w:keepLines w:val="0"/>
        <w:numPr>
          <w:ilvl w:val="0"/>
          <w:numId w:val="10"/>
        </w:numPr>
        <w:spacing w:before="0" w:after="160" w:line="280" w:lineRule="auto"/>
      </w:pPr>
      <w:r>
        <w:rPr>
          <w:rFonts w:ascii="Calibri" w:hAnsi="Calibri" w:eastAsia="Calibri"/>
          <w:color w:val="000000"/>
          <w:sz w:val="22"/>
        </w:rPr>
        <w:t>Users shall report unexpected copies, rule changes, or messages appearing at an unintended destination.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Tenant forwarding configuration</w:t>
      </w:r>
    </w:p>
    <w:p>
      <w:pPr>
        <w:keepNext w:val="0"/>
        <w:keepLines w:val="0"/>
        <w:numPr>
          <w:ilvl w:val="0"/>
          <w:numId w:val="10"/>
        </w:numPr>
        <w:spacing w:before="0" w:after="160" w:line="280" w:lineRule="auto"/>
      </w:pPr>
      <w:r>
        <w:rPr>
          <w:rFonts w:ascii="Calibri" w:hAnsi="Calibri" w:eastAsia="Calibri"/>
          <w:color w:val="000000"/>
          <w:sz w:val="22"/>
        </w:rPr>
        <w:t>Forwarding exception register</w:t>
      </w:r>
    </w:p>
    <w:p>
      <w:pPr>
        <w:keepNext w:val="0"/>
        <w:keepLines w:val="0"/>
        <w:numPr>
          <w:ilvl w:val="0"/>
          <w:numId w:val="10"/>
        </w:numPr>
        <w:spacing w:before="0" w:after="160" w:line="280" w:lineRule="auto"/>
      </w:pPr>
      <w:r>
        <w:rPr>
          <w:rFonts w:ascii="Calibri" w:hAnsi="Calibri" w:eastAsia="Calibri"/>
          <w:color w:val="000000"/>
          <w:sz w:val="22"/>
        </w:rPr>
        <w:t>Rule/connector inventory</w:t>
      </w:r>
    </w:p>
    <w:p>
      <w:pPr>
        <w:keepNext w:val="0"/>
        <w:keepLines w:val="0"/>
        <w:numPr>
          <w:ilvl w:val="0"/>
          <w:numId w:val="10"/>
        </w:numPr>
        <w:spacing w:before="0" w:after="160" w:line="280" w:lineRule="auto"/>
      </w:pPr>
      <w:r>
        <w:rPr>
          <w:rFonts w:ascii="Calibri" w:hAnsi="Calibri" w:eastAsia="Calibri"/>
          <w:color w:val="000000"/>
          <w:sz w:val="22"/>
        </w:rPr>
        <w:t>Forwarding alerts and investigations</w:t>
      </w:r>
    </w:p>
    <w:p>
      <w:pPr>
        <w:keepNext w:val="0"/>
        <w:keepLines w:val="0"/>
        <w:numPr>
          <w:ilvl w:val="0"/>
          <w:numId w:val="10"/>
        </w:numPr>
        <w:spacing w:before="0" w:after="160" w:line="280" w:lineRule="auto"/>
      </w:pPr>
      <w:r>
        <w:rPr>
          <w:rFonts w:ascii="Calibri" w:hAnsi="Calibri" w:eastAsia="Calibri"/>
          <w:color w:val="000000"/>
          <w:sz w:val="22"/>
        </w:rPr>
        <w:t>Periodic review evidence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External forwarding blocked by default</w:t>
      </w:r>
    </w:p>
    <w:p>
      <w:pPr>
        <w:keepNext w:val="0"/>
        <w:keepLines w:val="0"/>
        <w:numPr>
          <w:ilvl w:val="0"/>
          <w:numId w:val="10"/>
        </w:numPr>
        <w:spacing w:before="0" w:after="160" w:line="280" w:lineRule="auto"/>
      </w:pPr>
      <w:r>
        <w:rPr>
          <w:rFonts w:ascii="Calibri" w:hAnsi="Calibri" w:eastAsia="Calibri"/>
          <w:color w:val="000000"/>
          <w:sz w:val="22"/>
        </w:rPr>
        <w:t>Approved exceptions with current expiration</w:t>
      </w:r>
    </w:p>
    <w:p>
      <w:pPr>
        <w:keepNext w:val="0"/>
        <w:keepLines w:val="0"/>
        <w:numPr>
          <w:ilvl w:val="0"/>
          <w:numId w:val="10"/>
        </w:numPr>
        <w:spacing w:before="0" w:after="160" w:line="280" w:lineRule="auto"/>
      </w:pPr>
      <w:r>
        <w:rPr>
          <w:rFonts w:ascii="Calibri" w:hAnsi="Calibri" w:eastAsia="Calibri"/>
          <w:color w:val="000000"/>
          <w:sz w:val="22"/>
        </w:rPr>
        <w:t>Unauthorized forwarding detections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AC.L1-3.1.20; AC.L2-3.1.3; SC.L2-3.13.1 and SC.L2-3.13.5.</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800-177 Rev. 1, Trustworthy Email: https://doi.org/10.6028/NIST.SP.800-177r1</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Email Forwarding Control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