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STANDARD</w:t>
      </w:r>
    </w:p>
    <w:p>
      <w:pPr>
        <w:keepNext/>
        <w:keepLines w:val="0"/>
        <w:spacing w:before="0" w:after="100" w:line="240" w:lineRule="auto"/>
      </w:pPr>
      <w:r>
        <w:rPr>
          <w:rFonts w:ascii="Calibri" w:hAnsi="Calibri" w:eastAsia="Calibri"/>
          <w:b/>
          <w:color w:val="0B2545"/>
          <w:sz w:val="46"/>
        </w:rPr>
        <w:t>Bluetooth Security Baseline</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Define minimum security requirements for Bluetooth capabilities used to support organizational work.</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organization-managed endpoints, mobile devices, peripherals, vehicles, medical or operational devices, and embedded equipment with Bluetooth capability.</w:t>
      </w:r>
    </w:p>
    <w:p>
      <w:pPr>
        <w:keepNext w:val="0"/>
        <w:keepLines w:val="0"/>
        <w:spacing w:before="0" w:after="120" w:line="264" w:lineRule="auto"/>
      </w:pPr>
      <w:r>
        <w:rPr>
          <w:rFonts w:ascii="Calibri" w:hAnsi="Calibri" w:eastAsia="Calibri"/>
          <w:b/>
          <w:color w:val="000000"/>
          <w:sz w:val="22"/>
        </w:rPr>
        <w:t xml:space="preserve">Not Applicable path. </w:t>
      </w:r>
      <w:r>
        <w:rPr>
          <w:rFonts w:ascii="Calibri" w:hAnsi="Calibri" w:eastAsia="Calibri"/>
          <w:color w:val="000000"/>
          <w:sz w:val="22"/>
        </w:rPr>
        <w:t>If Bluetooth is disabled across all in-scope assets, retain configuration and inventory evidence supporting that status.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Bluetooth shall be disabled when it is not required for an approved business purpose or cannot be securely managed.</w:t>
      </w:r>
    </w:p>
    <w:p>
      <w:pPr>
        <w:keepNext w:val="0"/>
        <w:keepLines w:val="0"/>
        <w:numPr>
          <w:ilvl w:val="0"/>
          <w:numId w:val="10"/>
        </w:numPr>
        <w:spacing w:before="0" w:after="160" w:line="280" w:lineRule="auto"/>
      </w:pPr>
      <w:r>
        <w:rPr>
          <w:rFonts w:ascii="Calibri" w:hAnsi="Calibri" w:eastAsia="Calibri"/>
          <w:color w:val="000000"/>
          <w:sz w:val="22"/>
        </w:rPr>
        <w:t>Discoverable mode shall be time-limited; permanent discoverability and default or predictable pairing codes are prohibited.</w:t>
      </w:r>
    </w:p>
    <w:p>
      <w:pPr>
        <w:keepNext w:val="0"/>
        <w:keepLines w:val="0"/>
        <w:numPr>
          <w:ilvl w:val="0"/>
          <w:numId w:val="10"/>
        </w:numPr>
        <w:spacing w:before="0" w:after="160" w:line="280" w:lineRule="auto"/>
      </w:pPr>
      <w:r>
        <w:rPr>
          <w:rFonts w:ascii="Calibri" w:hAnsi="Calibri" w:eastAsia="Calibri"/>
          <w:color w:val="000000"/>
          <w:sz w:val="22"/>
        </w:rPr>
        <w:t>Pairing shall occur in a controlled location using the strongest supported authenticated association method, and users shall verify the intended device identity.</w:t>
      </w:r>
    </w:p>
    <w:p>
      <w:pPr>
        <w:keepNext w:val="0"/>
        <w:keepLines w:val="0"/>
        <w:numPr>
          <w:ilvl w:val="0"/>
          <w:numId w:val="10"/>
        </w:numPr>
        <w:spacing w:before="0" w:after="160" w:line="280" w:lineRule="auto"/>
      </w:pPr>
      <w:r>
        <w:rPr>
          <w:rFonts w:ascii="Calibri" w:hAnsi="Calibri" w:eastAsia="Calibri"/>
          <w:color w:val="000000"/>
          <w:sz w:val="22"/>
        </w:rPr>
        <w:t>Unknown, unused, or stale pairings shall be removed; lost or transferred devices shall have pairings revoked or reset.</w:t>
      </w:r>
    </w:p>
    <w:p>
      <w:pPr>
        <w:keepNext w:val="0"/>
        <w:keepLines w:val="0"/>
        <w:numPr>
          <w:ilvl w:val="0"/>
          <w:numId w:val="10"/>
        </w:numPr>
        <w:spacing w:before="0" w:after="160" w:line="280" w:lineRule="auto"/>
      </w:pPr>
      <w:r>
        <w:rPr>
          <w:rFonts w:ascii="Calibri" w:hAnsi="Calibri" w:eastAsia="Calibri"/>
          <w:color w:val="000000"/>
          <w:sz w:val="22"/>
        </w:rPr>
        <w:t>Devices shall receive vendor security updates within the defined remediation window and shall not use unsupported Bluetooth versions for sensitive workflows without a risk exception.</w:t>
      </w:r>
    </w:p>
    <w:p>
      <w:pPr>
        <w:keepNext w:val="0"/>
        <w:keepLines w:val="0"/>
        <w:numPr>
          <w:ilvl w:val="0"/>
          <w:numId w:val="10"/>
        </w:numPr>
        <w:spacing w:before="0" w:after="160" w:line="280" w:lineRule="auto"/>
      </w:pPr>
      <w:r>
        <w:rPr>
          <w:rFonts w:ascii="Calibri" w:hAnsi="Calibri" w:eastAsia="Calibri"/>
          <w:color w:val="000000"/>
          <w:sz w:val="22"/>
        </w:rPr>
        <w:t>File transfer, tethering, contact sharing, and similar profiles shall be disabled unless approved and necessary.</w:t>
      </w:r>
    </w:p>
    <w:p>
      <w:pPr>
        <w:keepNext w:val="0"/>
        <w:keepLines w:val="0"/>
        <w:numPr>
          <w:ilvl w:val="0"/>
          <w:numId w:val="10"/>
        </w:numPr>
        <w:spacing w:before="0" w:after="160" w:line="280" w:lineRule="auto"/>
      </w:pPr>
      <w:r>
        <w:rPr>
          <w:rFonts w:ascii="Calibri" w:hAnsi="Calibri" w:eastAsia="Calibri"/>
          <w:color w:val="000000"/>
          <w:sz w:val="22"/>
        </w:rPr>
        <w:t>Security shall assess high-impact or fixed Bluetooth deployments for range, eavesdropping, spoofing, interference, and physical-access risks.</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Bluetooth-capable asset inventory</w:t>
      </w:r>
    </w:p>
    <w:p>
      <w:pPr>
        <w:keepNext w:val="0"/>
        <w:keepLines w:val="0"/>
        <w:numPr>
          <w:ilvl w:val="0"/>
          <w:numId w:val="10"/>
        </w:numPr>
        <w:spacing w:before="0" w:after="160" w:line="280" w:lineRule="auto"/>
      </w:pPr>
      <w:r>
        <w:rPr>
          <w:rFonts w:ascii="Calibri" w:hAnsi="Calibri" w:eastAsia="Calibri"/>
          <w:color w:val="000000"/>
          <w:sz w:val="22"/>
        </w:rPr>
        <w:t>Approved business-use record</w:t>
      </w:r>
    </w:p>
    <w:p>
      <w:pPr>
        <w:keepNext w:val="0"/>
        <w:keepLines w:val="0"/>
        <w:numPr>
          <w:ilvl w:val="0"/>
          <w:numId w:val="10"/>
        </w:numPr>
        <w:spacing w:before="0" w:after="160" w:line="280" w:lineRule="auto"/>
      </w:pPr>
      <w:r>
        <w:rPr>
          <w:rFonts w:ascii="Calibri" w:hAnsi="Calibri" w:eastAsia="Calibri"/>
          <w:color w:val="000000"/>
          <w:sz w:val="22"/>
        </w:rPr>
        <w:t>Baseline configuration evidence</w:t>
      </w:r>
    </w:p>
    <w:p>
      <w:pPr>
        <w:keepNext w:val="0"/>
        <w:keepLines w:val="0"/>
        <w:numPr>
          <w:ilvl w:val="0"/>
          <w:numId w:val="10"/>
        </w:numPr>
        <w:spacing w:before="0" w:after="160" w:line="280" w:lineRule="auto"/>
      </w:pPr>
      <w:r>
        <w:rPr>
          <w:rFonts w:ascii="Calibri" w:hAnsi="Calibri" w:eastAsia="Calibri"/>
          <w:color w:val="000000"/>
          <w:sz w:val="22"/>
        </w:rPr>
        <w:t>Pairing review</w:t>
      </w:r>
    </w:p>
    <w:p>
      <w:pPr>
        <w:keepNext w:val="0"/>
        <w:keepLines w:val="0"/>
        <w:numPr>
          <w:ilvl w:val="0"/>
          <w:numId w:val="10"/>
        </w:numPr>
        <w:spacing w:before="0" w:after="160" w:line="280" w:lineRule="auto"/>
      </w:pPr>
      <w:r>
        <w:rPr>
          <w:rFonts w:ascii="Calibri" w:hAnsi="Calibri" w:eastAsia="Calibri"/>
          <w:color w:val="000000"/>
          <w:sz w:val="22"/>
        </w:rPr>
        <w:t>Exception and compensating-control record</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Managed devices with Bluetooth disabled or approved</w:t>
      </w:r>
    </w:p>
    <w:p>
      <w:pPr>
        <w:keepNext w:val="0"/>
        <w:keepLines w:val="0"/>
        <w:numPr>
          <w:ilvl w:val="0"/>
          <w:numId w:val="10"/>
        </w:numPr>
        <w:spacing w:before="0" w:after="160" w:line="280" w:lineRule="auto"/>
      </w:pPr>
      <w:r>
        <w:rPr>
          <w:rFonts w:ascii="Calibri" w:hAnsi="Calibri" w:eastAsia="Calibri"/>
          <w:color w:val="000000"/>
          <w:sz w:val="22"/>
        </w:rPr>
        <w:t>Stale pairings identified</w:t>
      </w:r>
    </w:p>
    <w:p>
      <w:pPr>
        <w:keepNext w:val="0"/>
        <w:keepLines w:val="0"/>
        <w:numPr>
          <w:ilvl w:val="0"/>
          <w:numId w:val="10"/>
        </w:numPr>
        <w:spacing w:before="0" w:after="160" w:line="280" w:lineRule="auto"/>
      </w:pPr>
      <w:r>
        <w:rPr>
          <w:rFonts w:ascii="Calibri" w:hAnsi="Calibri" w:eastAsia="Calibri"/>
          <w:color w:val="000000"/>
          <w:sz w:val="22"/>
        </w:rPr>
        <w:t>Unsupported Bluetooth devices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AC.L2-3.1.16, AC.L2-3.1.17; CM.L2-3.4.1 and CM.L2-3.4.2 where applicable.</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If Bluetooth is disabled across all in-scope assets, retain configuration and inventory evidence supporting that status.</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800-121 Rev. 2, Guide to Bluetooth Security: https://doi.org/10.6028/NIST.SP.800-121r2</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Standard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Bluetooth Security Baseline</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