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Clean Desk, Clear Screen, and Secure Workspace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Reduce unauthorized viewing, loss, and removal of sensitive information from physical and virtual workspaces.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offices, shared work areas, home offices used for organizational work, conference spaces, vehicles, temporary locations, printers, displays, and other places where organizational information may be handled.</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Sensitive paper, removable media, badges, tokens, and portable devices shall be secured when unattended and at the end of the work period.</w:t>
      </w:r>
    </w:p>
    <w:p>
      <w:pPr>
        <w:keepNext w:val="0"/>
        <w:keepLines w:val="0"/>
        <w:numPr>
          <w:ilvl w:val="0"/>
          <w:numId w:val="10"/>
        </w:numPr>
        <w:spacing w:before="0" w:after="160" w:line="280" w:lineRule="auto"/>
      </w:pPr>
      <w:r>
        <w:rPr>
          <w:rFonts w:ascii="Calibri" w:hAnsi="Calibri" w:eastAsia="Calibri"/>
          <w:color w:val="000000"/>
          <w:sz w:val="22"/>
        </w:rPr>
        <w:t>Screens shall be locked whenever the authorized user is not in effective control; automatic locking shall enforce the organization-defined inactivity period.</w:t>
      </w:r>
    </w:p>
    <w:p>
      <w:pPr>
        <w:keepNext w:val="0"/>
        <w:keepLines w:val="0"/>
        <w:numPr>
          <w:ilvl w:val="0"/>
          <w:numId w:val="10"/>
        </w:numPr>
        <w:spacing w:before="0" w:after="160" w:line="280" w:lineRule="auto"/>
      </w:pPr>
      <w:r>
        <w:rPr>
          <w:rFonts w:ascii="Calibri" w:hAnsi="Calibri" w:eastAsia="Calibri"/>
          <w:color w:val="000000"/>
          <w:sz w:val="22"/>
        </w:rPr>
        <w:t>Sensitive information shall not be left on shared printers, whiteboards, meeting-room displays, or visible in publicly accessible areas.</w:t>
      </w:r>
    </w:p>
    <w:p>
      <w:pPr>
        <w:keepNext w:val="0"/>
        <w:keepLines w:val="0"/>
        <w:numPr>
          <w:ilvl w:val="0"/>
          <w:numId w:val="10"/>
        </w:numPr>
        <w:spacing w:before="0" w:after="160" w:line="280" w:lineRule="auto"/>
      </w:pPr>
      <w:r>
        <w:rPr>
          <w:rFonts w:ascii="Calibri" w:hAnsi="Calibri" w:eastAsia="Calibri"/>
          <w:color w:val="000000"/>
          <w:sz w:val="22"/>
        </w:rPr>
        <w:t>Work areas shall be arranged to reduce shoulder surfing; privacy screens or alternate placement shall be used when justified by risk.</w:t>
      </w:r>
    </w:p>
    <w:p>
      <w:pPr>
        <w:keepNext w:val="0"/>
        <w:keepLines w:val="0"/>
        <w:numPr>
          <w:ilvl w:val="0"/>
          <w:numId w:val="10"/>
        </w:numPr>
        <w:spacing w:before="0" w:after="160" w:line="280" w:lineRule="auto"/>
      </w:pPr>
      <w:r>
        <w:rPr>
          <w:rFonts w:ascii="Calibri" w:hAnsi="Calibri" w:eastAsia="Calibri"/>
          <w:color w:val="000000"/>
          <w:sz w:val="22"/>
        </w:rPr>
        <w:t>Keys, combinations, passwords, recovery codes, and access tokens shall not be displayed or stored in unsecured desk locations.</w:t>
      </w:r>
    </w:p>
    <w:p>
      <w:pPr>
        <w:keepNext w:val="0"/>
        <w:keepLines w:val="0"/>
        <w:numPr>
          <w:ilvl w:val="0"/>
          <w:numId w:val="10"/>
        </w:numPr>
        <w:spacing w:before="0" w:after="160" w:line="280" w:lineRule="auto"/>
      </w:pPr>
      <w:r>
        <w:rPr>
          <w:rFonts w:ascii="Calibri" w:hAnsi="Calibri" w:eastAsia="Calibri"/>
          <w:color w:val="000000"/>
          <w:sz w:val="22"/>
        </w:rPr>
        <w:t>Waste containing sensitive information shall be placed in approved destruction containers and shall not enter ordinary trash or recycling.</w:t>
      </w:r>
    </w:p>
    <w:p>
      <w:pPr>
        <w:keepNext w:val="0"/>
        <w:keepLines w:val="0"/>
        <w:numPr>
          <w:ilvl w:val="0"/>
          <w:numId w:val="10"/>
        </w:numPr>
        <w:spacing w:before="0" w:after="160" w:line="280" w:lineRule="auto"/>
      </w:pPr>
      <w:r>
        <w:rPr>
          <w:rFonts w:ascii="Calibri" w:hAnsi="Calibri" w:eastAsia="Calibri"/>
          <w:color w:val="000000"/>
          <w:sz w:val="22"/>
        </w:rPr>
        <w:t>Managers and facility owners shall perform periodic walkthroughs and correct recurring conditions through coaching or formal action.</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Workspace inspection checklist</w:t>
      </w:r>
    </w:p>
    <w:p>
      <w:pPr>
        <w:keepNext w:val="0"/>
        <w:keepLines w:val="0"/>
        <w:numPr>
          <w:ilvl w:val="0"/>
          <w:numId w:val="10"/>
        </w:numPr>
        <w:spacing w:before="0" w:after="160" w:line="280" w:lineRule="auto"/>
      </w:pPr>
      <w:r>
        <w:rPr>
          <w:rFonts w:ascii="Calibri" w:hAnsi="Calibri" w:eastAsia="Calibri"/>
          <w:color w:val="000000"/>
          <w:sz w:val="22"/>
        </w:rPr>
        <w:t>Screen-lock configuration evidence</w:t>
      </w:r>
    </w:p>
    <w:p>
      <w:pPr>
        <w:keepNext w:val="0"/>
        <w:keepLines w:val="0"/>
        <w:numPr>
          <w:ilvl w:val="0"/>
          <w:numId w:val="10"/>
        </w:numPr>
        <w:spacing w:before="0" w:after="160" w:line="280" w:lineRule="auto"/>
      </w:pPr>
      <w:r>
        <w:rPr>
          <w:rFonts w:ascii="Calibri" w:hAnsi="Calibri" w:eastAsia="Calibri"/>
          <w:color w:val="000000"/>
          <w:sz w:val="22"/>
        </w:rPr>
        <w:t>Secure-destruction service record</w:t>
      </w:r>
    </w:p>
    <w:p>
      <w:pPr>
        <w:keepNext w:val="0"/>
        <w:keepLines w:val="0"/>
        <w:numPr>
          <w:ilvl w:val="0"/>
          <w:numId w:val="10"/>
        </w:numPr>
        <w:spacing w:before="0" w:after="160" w:line="280" w:lineRule="auto"/>
      </w:pPr>
      <w:r>
        <w:rPr>
          <w:rFonts w:ascii="Calibri" w:hAnsi="Calibri" w:eastAsia="Calibri"/>
          <w:color w:val="000000"/>
          <w:sz w:val="22"/>
        </w:rPr>
        <w:t>Reported exposures and corrective actions</w:t>
      </w:r>
    </w:p>
    <w:p>
      <w:pPr>
        <w:keepNext w:val="0"/>
        <w:keepLines w:val="0"/>
        <w:numPr>
          <w:ilvl w:val="0"/>
          <w:numId w:val="10"/>
        </w:numPr>
        <w:spacing w:before="0" w:after="160" w:line="280" w:lineRule="auto"/>
      </w:pPr>
      <w:r>
        <w:rPr>
          <w:rFonts w:ascii="Calibri" w:hAnsi="Calibri" w:eastAsia="Calibri"/>
          <w:color w:val="000000"/>
          <w:sz w:val="22"/>
        </w:rPr>
        <w:t>Remote-work acknowledgment</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Workspaces passing inspection</w:t>
      </w:r>
    </w:p>
    <w:p>
      <w:pPr>
        <w:keepNext w:val="0"/>
        <w:keepLines w:val="0"/>
        <w:numPr>
          <w:ilvl w:val="0"/>
          <w:numId w:val="10"/>
        </w:numPr>
        <w:spacing w:before="0" w:after="160" w:line="280" w:lineRule="auto"/>
      </w:pPr>
      <w:r>
        <w:rPr>
          <w:rFonts w:ascii="Calibri" w:hAnsi="Calibri" w:eastAsia="Calibri"/>
          <w:color w:val="000000"/>
          <w:sz w:val="22"/>
        </w:rPr>
        <w:t>Unattended sensitive items</w:t>
      </w:r>
    </w:p>
    <w:p>
      <w:pPr>
        <w:keepNext w:val="0"/>
        <w:keepLines w:val="0"/>
        <w:numPr>
          <w:ilvl w:val="0"/>
          <w:numId w:val="10"/>
        </w:numPr>
        <w:spacing w:before="0" w:after="160" w:line="280" w:lineRule="auto"/>
      </w:pPr>
      <w:r>
        <w:rPr>
          <w:rFonts w:ascii="Calibri" w:hAnsi="Calibri" w:eastAsia="Calibri"/>
          <w:color w:val="000000"/>
          <w:sz w:val="22"/>
        </w:rPr>
        <w:t>Secure-destruction exceptions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MP.L1-3.8.3, PE.L1-3.10.1, PE.L1-3.10.3, PE.L1-3.10.4.</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Desk, Clear Screen, and Secure Workspace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