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Communications Equipment Security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Protect routers, switches, firewalls, wireless controllers, voice systems, conferencing systems, cellular gateways, and related communications equipment through controlled ownership, configuration, access, and lifecycle management.</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communications equipment owned, leased, hosted, or managed for {{org.legal_name}}, including equipment operated by service providers on the organization's behalf.</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Each device or managed service shall have an inventory record, accountable owner, supported version, approved location, configuration baseline, and recovery method.</w:t>
      </w:r>
    </w:p>
    <w:p>
      <w:pPr>
        <w:keepNext w:val="0"/>
        <w:keepLines w:val="0"/>
        <w:numPr>
          <w:ilvl w:val="0"/>
          <w:numId w:val="10"/>
        </w:numPr>
        <w:spacing w:before="0" w:after="160" w:line="280" w:lineRule="auto"/>
      </w:pPr>
      <w:r>
        <w:rPr>
          <w:rFonts w:ascii="Calibri" w:hAnsi="Calibri" w:eastAsia="Calibri"/>
          <w:color w:val="000000"/>
          <w:sz w:val="22"/>
        </w:rPr>
        <w:t>Administrative access shall use named accounts, multifactor authentication where supported, least privilege, encrypted management protocols, and a restricted management path.</w:t>
      </w:r>
    </w:p>
    <w:p>
      <w:pPr>
        <w:keepNext w:val="0"/>
        <w:keepLines w:val="0"/>
        <w:numPr>
          <w:ilvl w:val="0"/>
          <w:numId w:val="10"/>
        </w:numPr>
        <w:spacing w:before="0" w:after="160" w:line="280" w:lineRule="auto"/>
      </w:pPr>
      <w:r>
        <w:rPr>
          <w:rFonts w:ascii="Calibri" w:hAnsi="Calibri" w:eastAsia="Calibri"/>
          <w:color w:val="000000"/>
          <w:sz w:val="22"/>
        </w:rPr>
        <w:t>Default accounts, community strings, services, ports, and insecure management protocols shall be removed or disabled before production use.</w:t>
      </w:r>
    </w:p>
    <w:p>
      <w:pPr>
        <w:keepNext w:val="0"/>
        <w:keepLines w:val="0"/>
        <w:numPr>
          <w:ilvl w:val="0"/>
          <w:numId w:val="10"/>
        </w:numPr>
        <w:spacing w:before="0" w:after="160" w:line="280" w:lineRule="auto"/>
      </w:pPr>
      <w:r>
        <w:rPr>
          <w:rFonts w:ascii="Calibri" w:hAnsi="Calibri" w:eastAsia="Calibri"/>
          <w:color w:val="000000"/>
          <w:sz w:val="22"/>
        </w:rPr>
        <w:t>Configuration changes shall be authorized, tested, recorded, and backed up; emergency changes shall receive retrospective review.</w:t>
      </w:r>
    </w:p>
    <w:p>
      <w:pPr>
        <w:keepNext w:val="0"/>
        <w:keepLines w:val="0"/>
        <w:numPr>
          <w:ilvl w:val="0"/>
          <w:numId w:val="10"/>
        </w:numPr>
        <w:spacing w:before="0" w:after="160" w:line="280" w:lineRule="auto"/>
      </w:pPr>
      <w:r>
        <w:rPr>
          <w:rFonts w:ascii="Calibri" w:hAnsi="Calibri" w:eastAsia="Calibri"/>
          <w:color w:val="000000"/>
          <w:sz w:val="22"/>
        </w:rPr>
        <w:t>Security updates and vulnerability findings shall be remediated within risk-based timelines; unsupported equipment shall be isolated, formally excepted, or replaced.</w:t>
      </w:r>
    </w:p>
    <w:p>
      <w:pPr>
        <w:keepNext w:val="0"/>
        <w:keepLines w:val="0"/>
        <w:numPr>
          <w:ilvl w:val="0"/>
          <w:numId w:val="10"/>
        </w:numPr>
        <w:spacing w:before="0" w:after="160" w:line="280" w:lineRule="auto"/>
      </w:pPr>
      <w:r>
        <w:rPr>
          <w:rFonts w:ascii="Calibri" w:hAnsi="Calibri" w:eastAsia="Calibri"/>
          <w:color w:val="000000"/>
          <w:sz w:val="22"/>
        </w:rPr>
        <w:t>Logs, time synchronization, configuration-change alerts, and availability monitoring shall be enabled and sent to approved monitoring systems where technically supported.</w:t>
      </w:r>
    </w:p>
    <w:p>
      <w:pPr>
        <w:keepNext w:val="0"/>
        <w:keepLines w:val="0"/>
        <w:numPr>
          <w:ilvl w:val="0"/>
          <w:numId w:val="10"/>
        </w:numPr>
        <w:spacing w:before="0" w:after="160" w:line="280" w:lineRule="auto"/>
      </w:pPr>
      <w:r>
        <w:rPr>
          <w:rFonts w:ascii="Calibri" w:hAnsi="Calibri" w:eastAsia="Calibri"/>
          <w:color w:val="000000"/>
          <w:sz w:val="22"/>
        </w:rPr>
        <w:t>Decommissioned equipment shall be sanitized, inventory status updated, credentials and certificates revoked, and carrier or vendor access terminated.</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Asset inventory</w:t>
      </w:r>
    </w:p>
    <w:p>
      <w:pPr>
        <w:keepNext w:val="0"/>
        <w:keepLines w:val="0"/>
        <w:numPr>
          <w:ilvl w:val="0"/>
          <w:numId w:val="10"/>
        </w:numPr>
        <w:spacing w:before="0" w:after="160" w:line="280" w:lineRule="auto"/>
      </w:pPr>
      <w:r>
        <w:rPr>
          <w:rFonts w:ascii="Calibri" w:hAnsi="Calibri" w:eastAsia="Calibri"/>
          <w:color w:val="000000"/>
          <w:sz w:val="22"/>
        </w:rPr>
        <w:t>Approved baseline</w:t>
      </w:r>
    </w:p>
    <w:p>
      <w:pPr>
        <w:keepNext w:val="0"/>
        <w:keepLines w:val="0"/>
        <w:numPr>
          <w:ilvl w:val="0"/>
          <w:numId w:val="10"/>
        </w:numPr>
        <w:spacing w:before="0" w:after="160" w:line="280" w:lineRule="auto"/>
      </w:pPr>
      <w:r>
        <w:rPr>
          <w:rFonts w:ascii="Calibri" w:hAnsi="Calibri" w:eastAsia="Calibri"/>
          <w:color w:val="000000"/>
          <w:sz w:val="22"/>
        </w:rPr>
        <w:t>Configuration backup</w:t>
      </w:r>
    </w:p>
    <w:p>
      <w:pPr>
        <w:keepNext w:val="0"/>
        <w:keepLines w:val="0"/>
        <w:numPr>
          <w:ilvl w:val="0"/>
          <w:numId w:val="10"/>
        </w:numPr>
        <w:spacing w:before="0" w:after="160" w:line="280" w:lineRule="auto"/>
      </w:pPr>
      <w:r>
        <w:rPr>
          <w:rFonts w:ascii="Calibri" w:hAnsi="Calibri" w:eastAsia="Calibri"/>
          <w:color w:val="000000"/>
          <w:sz w:val="22"/>
        </w:rPr>
        <w:t>Administrative access review</w:t>
      </w:r>
    </w:p>
    <w:p>
      <w:pPr>
        <w:keepNext w:val="0"/>
        <w:keepLines w:val="0"/>
        <w:numPr>
          <w:ilvl w:val="0"/>
          <w:numId w:val="10"/>
        </w:numPr>
        <w:spacing w:before="0" w:after="160" w:line="280" w:lineRule="auto"/>
      </w:pPr>
      <w:r>
        <w:rPr>
          <w:rFonts w:ascii="Calibri" w:hAnsi="Calibri" w:eastAsia="Calibri"/>
          <w:color w:val="000000"/>
          <w:sz w:val="22"/>
        </w:rPr>
        <w:t>Patch/vulnerability report</w:t>
      </w:r>
    </w:p>
    <w:p>
      <w:pPr>
        <w:keepNext w:val="0"/>
        <w:keepLines w:val="0"/>
        <w:numPr>
          <w:ilvl w:val="0"/>
          <w:numId w:val="10"/>
        </w:numPr>
        <w:spacing w:before="0" w:after="160" w:line="280" w:lineRule="auto"/>
      </w:pPr>
      <w:r>
        <w:rPr>
          <w:rFonts w:ascii="Calibri" w:hAnsi="Calibri" w:eastAsia="Calibri"/>
          <w:color w:val="000000"/>
          <w:sz w:val="22"/>
        </w:rPr>
        <w:t>Change and decommission records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Supported communications assets</w:t>
      </w:r>
    </w:p>
    <w:p>
      <w:pPr>
        <w:keepNext w:val="0"/>
        <w:keepLines w:val="0"/>
        <w:numPr>
          <w:ilvl w:val="0"/>
          <w:numId w:val="10"/>
        </w:numPr>
        <w:spacing w:before="0" w:after="160" w:line="280" w:lineRule="auto"/>
      </w:pPr>
      <w:r>
        <w:rPr>
          <w:rFonts w:ascii="Calibri" w:hAnsi="Calibri" w:eastAsia="Calibri"/>
          <w:color w:val="000000"/>
          <w:sz w:val="22"/>
        </w:rPr>
        <w:t>Configuration backups current</w:t>
      </w:r>
    </w:p>
    <w:p>
      <w:pPr>
        <w:keepNext w:val="0"/>
        <w:keepLines w:val="0"/>
        <w:numPr>
          <w:ilvl w:val="0"/>
          <w:numId w:val="10"/>
        </w:numPr>
        <w:spacing w:before="0" w:after="160" w:line="280" w:lineRule="auto"/>
      </w:pPr>
      <w:r>
        <w:rPr>
          <w:rFonts w:ascii="Calibri" w:hAnsi="Calibri" w:eastAsia="Calibri"/>
          <w:color w:val="000000"/>
          <w:sz w:val="22"/>
        </w:rPr>
        <w:t>Critical network findings past due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CM.L2-3.4.1 through CM.L2-3.4.9; AC.L2-3.1.5; SC.L2-3.13.1 and SC.L2-3.13.5.</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keepNext w:val="0"/>
        <w:keepLines w:val="0"/>
        <w:numPr>
          <w:ilvl w:val="0"/>
          <w:numId w:val="10"/>
        </w:numPr>
        <w:spacing w:before="0" w:after="160" w:line="280" w:lineRule="auto"/>
      </w:pPr>
      <w:r>
        <w:rPr>
          <w:rFonts w:ascii="Calibri" w:hAnsi="Calibri" w:eastAsia="Calibri"/>
          <w:color w:val="000000"/>
          <w:sz w:val="22"/>
        </w:rPr>
        <w:t>NIST SP 800-41 Rev. 1, Guidelines on Firewalls and Firewall Policy: https://doi.org/10.6028/NIST.SP.800-41r1</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Equipment Security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