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jc w:val="left"/>
        <w:tblLayout w:type="fixed"/>
        <w:tblLook w:firstColumn="1" w:firstRow="1" w:lastColumn="0" w:lastRow="0" w:noHBand="0" w:noVBand="1" w:val="04A0"/>
        <w:tblInd w:w="0" w:type="dxa"/>
      </w:tblPr>
      <w:tblGrid>
        <w:gridCol w:w="6480"/>
        <w:gridCol w:w="2880"/>
      </w:tblGrid>
      <w:tr>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b/>
                <w:color w:val="0B2545"/>
                <w:sz w:val="24"/>
              </w:rPr>
              <w:t>{{org.legal_name}}</w:t>
            </w:r>
          </w:p>
        </w:tc>
        <w:tc>
          <w:tcPr>
            <w:tcW w:type="dxa" w:w="2880"/>
            <w:vAlign w:val="center"/>
            <w:tcMar>
              <w:top w:w="80" w:type="dxa"/>
              <w:start w:w="120" w:type="dxa"/>
              <w:bottom w:w="80" w:type="dxa"/>
              <w:end w:w="120" w:type="dxa"/>
            </w:tcMar>
            <w:shd w:fill="F2F4F7" w:val="clear"/>
          </w:tcPr>
          <w:p>
            <w:pPr>
              <w:keepNext w:val="0"/>
              <w:keepLines w:val="0"/>
              <w:spacing w:before="0" w:after="0" w:line="240" w:lineRule="auto"/>
              <w:jc w:val="center"/>
            </w:pPr>
            <w:r>
              <w:rPr>
                <w:rFonts w:ascii="Calibri" w:hAnsi="Calibri" w:eastAsia="Calibri"/>
                <w:b/>
                <w:color w:val="59636E"/>
                <w:sz w:val="18"/>
              </w:rPr>
              <w:t>{{org.logo}}</w:t>
            </w:r>
          </w:p>
        </w:tc>
      </w:tr>
    </w:tbl>
    <w:p>
      <w:pPr>
        <w:keepNext w:val="0"/>
        <w:keepLines w:val="0"/>
        <w:spacing w:before="240" w:after="60" w:line="240" w:lineRule="auto"/>
      </w:pPr>
      <w:r>
        <w:rPr>
          <w:rFonts w:ascii="Calibri" w:hAnsi="Calibri" w:eastAsia="Calibri"/>
          <w:b/>
          <w:color w:val="2E74B5"/>
          <w:sz w:val="18"/>
        </w:rPr>
        <w:t>PLAN</w:t>
      </w:r>
    </w:p>
    <w:p>
      <w:pPr>
        <w:keepNext/>
        <w:keepLines w:val="0"/>
        <w:spacing w:before="0" w:after="100" w:line="240" w:lineRule="auto"/>
      </w:pPr>
      <w:r>
        <w:rPr>
          <w:rFonts w:ascii="Calibri" w:hAnsi="Calibri" w:eastAsia="Calibri"/>
          <w:b/>
          <w:color w:val="0B2545"/>
          <w:sz w:val="46"/>
        </w:rPr>
        <w:t>Data Breach Response Plan</w:t>
      </w:r>
    </w:p>
    <w:p>
      <w:pPr>
        <w:keepNext w:val="0"/>
        <w:keepLines w:val="0"/>
        <w:spacing w:before="0" w:after="280" w:line="240" w:lineRule="auto"/>
      </w:pPr>
      <w:r>
        <w:rPr>
          <w:rFonts w:ascii="Calibri" w:hAnsi="Calibri" w:eastAsia="Calibri"/>
          <w:i/>
          <w:color w:val="59636E"/>
          <w:sz w:val="20"/>
        </w:rPr>
        <w:t>{{doc.title}} — {{doc.template_key}} v{{doc.version}}</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440"/>
        <w:gridCol w:w="3240"/>
        <w:gridCol w:w="1440"/>
        <w:gridCol w:w="3240"/>
      </w:tblGrid>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Document ID</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{{doc.document_id}}</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Version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Policy Owner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{{doc.owner_name}}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Approver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Effective Date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{{doc.effective_date}}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Next Review</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{{doc.next_review_date}}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Classification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{{doc.classification}}</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Cycle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{{doc.review_cycle}}</w:t>
            </w:r>
          </w:p>
        </w:tc>
      </w:tr>
    </w:tbl>
    <w:p>
      <w:pPr>
        <w:pStyle w:val="Heading1"/>
        <w:keepNext/>
      </w:pPr>
      <w:r>
        <w:t>1. Purpose</w:t>
      </w:r>
    </w:p>
    <w:p>
      <w:pPr>
        <w:keepNext w:val="0"/>
        <w:keepLines w:val="0"/>
        <w:spacing w:before="0" w:after="120" w:line="264" w:lineRule="auto"/>
      </w:pPr>
      <w:r>
        <w:rPr>
          <w:rFonts w:ascii="Calibri" w:hAnsi="Calibri" w:eastAsia="Calibri"/>
          <w:color w:val="000000"/>
          <w:sz w:val="22"/>
        </w:rPr>
        <w:t>Provide a coordinated decision and response structure for suspected or confirmed unauthorized access, acquisition, use, disclosure, loss, or destruction of protected information.</w:t>
      </w:r>
    </w:p>
    <w:p>
      <w:pPr>
        <w:pStyle w:val="Heading1"/>
        <w:keepNext/>
      </w:pPr>
      <w:r>
        <w:t>2. Scope and Applicability</w:t>
      </w:r>
    </w:p>
    <w:p>
      <w:pPr>
        <w:keepNext w:val="0"/>
        <w:keepLines w:val="0"/>
        <w:spacing w:before="0" w:after="120" w:line="264" w:lineRule="auto"/>
      </w:pPr>
      <w:r>
        <w:rPr>
          <w:rFonts w:ascii="Calibri" w:hAnsi="Calibri" w:eastAsia="Calibri"/>
          <w:color w:val="000000"/>
          <w:sz w:val="22"/>
        </w:rPr>
        <w:t>Applies to all information handled by or for {{org.legal_name}}, including personal information, regulated data, CUI, client data, employee data, credentials, and confidential business information.</w:t>
      </w:r>
    </w:p>
    <w:p>
      <w:pPr>
        <w:pStyle w:val="Heading1"/>
        <w:keepNext/>
      </w:pPr>
      <w:r>
        <w:t>3. Policy Requirements</w:t>
      </w:r>
    </w:p>
    <w:p>
      <w:pPr>
        <w:keepNext w:val="0"/>
        <w:keepLines w:val="0"/>
        <w:numPr>
          <w:ilvl w:val="0"/>
          <w:numId w:val="10"/>
        </w:numPr>
        <w:spacing w:before="0" w:after="160" w:line="280" w:lineRule="auto"/>
      </w:pPr>
      <w:r>
        <w:rPr>
          <w:rFonts w:ascii="Calibri" w:hAnsi="Calibri" w:eastAsia="Calibri"/>
          <w:color w:val="000000"/>
          <w:sz w:val="22"/>
        </w:rPr>
        <w:t>Anyone who suspects a breach shall immediately use the approved reporting channel and shall preserve relevant devices, messages, and records.</w:t>
      </w:r>
    </w:p>
    <w:p>
      <w:pPr>
        <w:keepNext w:val="0"/>
        <w:keepLines w:val="0"/>
        <w:numPr>
          <w:ilvl w:val="0"/>
          <w:numId w:val="10"/>
        </w:numPr>
        <w:spacing w:before="0" w:after="160" w:line="280" w:lineRule="auto"/>
      </w:pPr>
      <w:r>
        <w:rPr>
          <w:rFonts w:ascii="Calibri" w:hAnsi="Calibri" w:eastAsia="Calibri"/>
          <w:color w:val="000000"/>
          <w:sz w:val="22"/>
        </w:rPr>
        <w:t>The Incident Commander shall establish scope, severity, containment priorities, evidence handling, decision log, and communication cadence.</w:t>
      </w:r>
    </w:p>
    <w:p>
      <w:pPr>
        <w:keepNext w:val="0"/>
        <w:keepLines w:val="0"/>
        <w:numPr>
          <w:ilvl w:val="0"/>
          <w:numId w:val="10"/>
        </w:numPr>
        <w:spacing w:before="0" w:after="160" w:line="280" w:lineRule="auto"/>
      </w:pPr>
      <w:r>
        <w:rPr>
          <w:rFonts w:ascii="Calibri" w:hAnsi="Calibri" w:eastAsia="Calibri"/>
          <w:color w:val="000000"/>
          <w:sz w:val="22"/>
        </w:rPr>
        <w:t>Security shall preserve logs and forensic evidence, contain ongoing exposure, validate affected systems and data, and document confidence and remaining uncertainty.</w:t>
      </w:r>
    </w:p>
    <w:p>
      <w:pPr>
        <w:keepNext w:val="0"/>
        <w:keepLines w:val="0"/>
        <w:numPr>
          <w:ilvl w:val="0"/>
          <w:numId w:val="10"/>
        </w:numPr>
        <w:spacing w:before="0" w:after="160" w:line="280" w:lineRule="auto"/>
      </w:pPr>
      <w:r>
        <w:rPr>
          <w:rFonts w:ascii="Calibri" w:hAnsi="Calibri" w:eastAsia="Calibri"/>
          <w:color w:val="000000"/>
          <w:sz w:val="22"/>
        </w:rPr>
        <w:t>Privacy and Legal shall determine applicable definitions, jurisdictions, contractual duties, law-enforcement considerations, privilege, notification content, recipients, and deadlines.</w:t>
      </w:r>
    </w:p>
    <w:p>
      <w:pPr>
        <w:keepNext w:val="0"/>
        <w:keepLines w:val="0"/>
        <w:numPr>
          <w:ilvl w:val="0"/>
          <w:numId w:val="10"/>
        </w:numPr>
        <w:spacing w:before="0" w:after="160" w:line="280" w:lineRule="auto"/>
      </w:pPr>
      <w:r>
        <w:rPr>
          <w:rFonts w:ascii="Calibri" w:hAnsi="Calibri" w:eastAsia="Calibri"/>
          <w:color w:val="000000"/>
          <w:sz w:val="22"/>
        </w:rPr>
        <w:t>Only authorized Communications or Legal personnel may notify affected individuals, customers, regulators, insurers, media, or other external parties.</w:t>
      </w:r>
    </w:p>
    <w:p>
      <w:pPr>
        <w:keepNext w:val="0"/>
        <w:keepLines w:val="0"/>
        <w:numPr>
          <w:ilvl w:val="0"/>
          <w:numId w:val="10"/>
        </w:numPr>
        <w:spacing w:before="0" w:after="160" w:line="280" w:lineRule="auto"/>
      </w:pPr>
      <w:r>
        <w:rPr>
          <w:rFonts w:ascii="Calibri" w:hAnsi="Calibri" w:eastAsia="Calibri"/>
          <w:color w:val="000000"/>
          <w:sz w:val="22"/>
        </w:rPr>
        <w:t>Recovery shall include eradication, credential and key actions, secure restoration, enhanced monitoring, validation, and documented return-to-service approval.</w:t>
      </w:r>
    </w:p>
    <w:p>
      <w:pPr>
        <w:keepNext w:val="0"/>
        <w:keepLines w:val="0"/>
        <w:numPr>
          <w:ilvl w:val="0"/>
          <w:numId w:val="10"/>
        </w:numPr>
        <w:spacing w:before="0" w:after="160" w:line="280" w:lineRule="auto"/>
      </w:pPr>
      <w:r>
        <w:rPr>
          <w:rFonts w:ascii="Calibri" w:hAnsi="Calibri" w:eastAsia="Calibri"/>
          <w:color w:val="000000"/>
          <w:sz w:val="22"/>
        </w:rPr>
        <w:t>A post-incident review shall identify root causes, control failures, lessons, owners, due dates, and evidence of corrective-action closure.</w:t>
      </w:r>
    </w:p>
    <w:p>
      <w:pPr>
        <w:pStyle w:val="Heading1"/>
        <w:keepNext/>
      </w:pPr>
      <w:r>
        <w:t>4. Roles and Responsibilities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Role</w:t>
            </w:r>
          </w:p>
        </w:tc>
        <w:tc>
          <w:tcPr>
            <w:tcW w:type="dxa" w:w="66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Responsibilities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Incident Commander</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Direct priorities, resources, decisions, and executive reporting.</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Security</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Investigate, preserve evidence, contain, eradicate, and validate recovery.</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Legal and Privacy</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Determine legal duties, privilege, notifications, and regulator engagement.</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Communications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Issue approved internal and external communications.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Business Owner</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Assess operational and customer impact and approve restoration priorities.</w:t>
            </w:r>
          </w:p>
        </w:tc>
      </w:tr>
    </w:tbl>
    <w:p>
      <w:pPr>
        <w:pStyle w:val="Heading1"/>
        <w:keepNext/>
      </w:pPr>
      <w:r>
        <w:t>5. Required Procedures, Evidence, and Records</w:t>
      </w:r>
    </w:p>
    <w:p>
      <w:pPr>
        <w:keepNext w:val="0"/>
        <w:keepLines w:val="0"/>
        <w:spacing w:before="0" w:after="120" w:line="264" w:lineRule="auto"/>
      </w:pPr>
      <w:r>
        <w:rPr>
          <w:rFonts w:ascii="Calibri" w:hAnsi="Calibri" w:eastAsia="Calibri"/>
          <w:color w:val="000000"/>
          <w:sz w:val="22"/>
        </w:rPr>
        <w:t>The policy owner shall ensure the following artifacts are created, retained, protected, and made available to authorized reviewers for the period defined by {{implementation.retention_period}}:</w:t>
      </w:r>
    </w:p>
    <w:p>
      <w:pPr>
        <w:keepNext w:val="0"/>
        <w:keepLines w:val="0"/>
        <w:numPr>
          <w:ilvl w:val="0"/>
          <w:numId w:val="10"/>
        </w:numPr>
        <w:spacing w:before="0" w:after="160" w:line="280" w:lineRule="auto"/>
      </w:pPr>
      <w:r>
        <w:rPr>
          <w:rFonts w:ascii="Calibri" w:hAnsi="Calibri" w:eastAsia="Calibri"/>
          <w:color w:val="000000"/>
          <w:sz w:val="22"/>
        </w:rPr>
        <w:t>Initial report</w:t>
      </w:r>
    </w:p>
    <w:p>
      <w:pPr>
        <w:keepNext w:val="0"/>
        <w:keepLines w:val="0"/>
        <w:numPr>
          <w:ilvl w:val="0"/>
          <w:numId w:val="10"/>
        </w:numPr>
        <w:spacing w:before="0" w:after="160" w:line="280" w:lineRule="auto"/>
      </w:pPr>
      <w:r>
        <w:rPr>
          <w:rFonts w:ascii="Calibri" w:hAnsi="Calibri" w:eastAsia="Calibri"/>
          <w:color w:val="000000"/>
          <w:sz w:val="22"/>
        </w:rPr>
        <w:t>Incident timeline and decision log</w:t>
      </w:r>
    </w:p>
    <w:p>
      <w:pPr>
        <w:keepNext w:val="0"/>
        <w:keepLines w:val="0"/>
        <w:numPr>
          <w:ilvl w:val="0"/>
          <w:numId w:val="10"/>
        </w:numPr>
        <w:spacing w:before="0" w:after="160" w:line="280" w:lineRule="auto"/>
      </w:pPr>
      <w:r>
        <w:rPr>
          <w:rFonts w:ascii="Calibri" w:hAnsi="Calibri" w:eastAsia="Calibri"/>
          <w:color w:val="000000"/>
          <w:sz w:val="22"/>
        </w:rPr>
        <w:t>Evidence inventory and chain of custody</w:t>
      </w:r>
    </w:p>
    <w:p>
      <w:pPr>
        <w:keepNext w:val="0"/>
        <w:keepLines w:val="0"/>
        <w:numPr>
          <w:ilvl w:val="0"/>
          <w:numId w:val="10"/>
        </w:numPr>
        <w:spacing w:before="0" w:after="160" w:line="280" w:lineRule="auto"/>
      </w:pPr>
      <w:r>
        <w:rPr>
          <w:rFonts w:ascii="Calibri" w:hAnsi="Calibri" w:eastAsia="Calibri"/>
          <w:color w:val="000000"/>
          <w:sz w:val="22"/>
        </w:rPr>
        <w:t>Legal/notification analysis</w:t>
      </w:r>
    </w:p>
    <w:p>
      <w:pPr>
        <w:keepNext w:val="0"/>
        <w:keepLines w:val="0"/>
        <w:numPr>
          <w:ilvl w:val="0"/>
          <w:numId w:val="10"/>
        </w:numPr>
        <w:spacing w:before="0" w:after="160" w:line="280" w:lineRule="auto"/>
      </w:pPr>
      <w:r>
        <w:rPr>
          <w:rFonts w:ascii="Calibri" w:hAnsi="Calibri" w:eastAsia="Calibri"/>
          <w:color w:val="000000"/>
          <w:sz w:val="22"/>
        </w:rPr>
        <w:t>Notification copies and delivery evidence</w:t>
      </w:r>
    </w:p>
    <w:p>
      <w:pPr>
        <w:keepNext w:val="0"/>
        <w:keepLines w:val="0"/>
        <w:numPr>
          <w:ilvl w:val="0"/>
          <w:numId w:val="10"/>
        </w:numPr>
        <w:spacing w:before="0" w:after="160" w:line="280" w:lineRule="auto"/>
      </w:pPr>
      <w:r>
        <w:rPr>
          <w:rFonts w:ascii="Calibri" w:hAnsi="Calibri" w:eastAsia="Calibri"/>
          <w:color w:val="000000"/>
          <w:sz w:val="22"/>
        </w:rPr>
        <w:t>Recovery validation</w:t>
      </w:r>
    </w:p>
    <w:p>
      <w:pPr>
        <w:keepNext w:val="0"/>
        <w:keepLines w:val="0"/>
        <w:numPr>
          <w:ilvl w:val="0"/>
          <w:numId w:val="10"/>
        </w:numPr>
        <w:spacing w:before="0" w:after="160" w:line="280" w:lineRule="auto"/>
      </w:pPr>
      <w:r>
        <w:rPr>
          <w:rFonts w:ascii="Calibri" w:hAnsi="Calibri" w:eastAsia="Calibri"/>
          <w:color w:val="000000"/>
          <w:sz w:val="22"/>
        </w:rPr>
        <w:t>After-action report</w:t>
      </w:r>
    </w:p>
    <w:p>
      <w:pPr>
        <w:pStyle w:val="Heading1"/>
        <w:keepNext/>
      </w:pPr>
      <w:r>
        <w:t>6. Monitoring and Review</w:t>
      </w:r>
    </w:p>
    <w:p>
      <w:pPr>
        <w:keepNext w:val="0"/>
        <w:keepLines w:val="0"/>
        <w:spacing w:before="0" w:after="120" w:line="264" w:lineRule="auto"/>
      </w:pPr>
      <w:r>
        <w:rPr>
          <w:rFonts w:ascii="Calibri" w:hAnsi="Calibri" w:eastAsia="Calibri"/>
          <w:color w:val="000000"/>
          <w:sz w:val="22"/>
        </w:rPr>
        <w:t>At minimum, the policy owner shall review the following indicators at {{implementation.defined_frequency}} and escalate material deficiencies:</w:t>
      </w:r>
    </w:p>
    <w:p>
      <w:pPr>
        <w:keepNext w:val="0"/>
        <w:keepLines w:val="0"/>
        <w:numPr>
          <w:ilvl w:val="0"/>
          <w:numId w:val="10"/>
        </w:numPr>
        <w:spacing w:before="0" w:after="160" w:line="280" w:lineRule="auto"/>
      </w:pPr>
      <w:r>
        <w:rPr>
          <w:rFonts w:ascii="Calibri" w:hAnsi="Calibri" w:eastAsia="Calibri"/>
          <w:color w:val="000000"/>
          <w:sz w:val="22"/>
        </w:rPr>
        <w:t>Time to report and triage</w:t>
      </w:r>
    </w:p>
    <w:p>
      <w:pPr>
        <w:keepNext w:val="0"/>
        <w:keepLines w:val="0"/>
        <w:numPr>
          <w:ilvl w:val="0"/>
          <w:numId w:val="10"/>
        </w:numPr>
        <w:spacing w:before="0" w:after="160" w:line="280" w:lineRule="auto"/>
      </w:pPr>
      <w:r>
        <w:rPr>
          <w:rFonts w:ascii="Calibri" w:hAnsi="Calibri" w:eastAsia="Calibri"/>
          <w:color w:val="000000"/>
          <w:sz w:val="22"/>
        </w:rPr>
        <w:t>Time to containment</w:t>
      </w:r>
    </w:p>
    <w:p>
      <w:pPr>
        <w:keepNext w:val="0"/>
        <w:keepLines w:val="0"/>
        <w:numPr>
          <w:ilvl w:val="0"/>
          <w:numId w:val="10"/>
        </w:numPr>
        <w:spacing w:before="0" w:after="160" w:line="280" w:lineRule="auto"/>
      </w:pPr>
      <w:r>
        <w:rPr>
          <w:rFonts w:ascii="Calibri" w:hAnsi="Calibri" w:eastAsia="Calibri"/>
          <w:color w:val="000000"/>
          <w:sz w:val="22"/>
        </w:rPr>
        <w:t>Notifications completed by applicable deadline</w:t>
      </w:r>
    </w:p>
    <w:p>
      <w:pPr>
        <w:keepNext w:val="0"/>
        <w:keepLines w:val="0"/>
        <w:numPr>
          <w:ilvl w:val="0"/>
          <w:numId w:val="10"/>
        </w:numPr>
        <w:spacing w:before="0" w:after="160" w:line="280" w:lineRule="auto"/>
      </w:pPr>
      <w:r>
        <w:rPr>
          <w:rFonts w:ascii="Calibri" w:hAnsi="Calibri" w:eastAsia="Calibri"/>
          <w:color w:val="000000"/>
          <w:sz w:val="22"/>
        </w:rPr>
        <w:t>Corrective actions closed on time</w:t>
      </w:r>
    </w:p>
    <w:p>
      <w:pPr>
        <w:keepNext w:val="0"/>
        <w:keepLines w:val="0"/>
        <w:spacing w:before="0" w:after="120" w:line="264" w:lineRule="auto"/>
      </w:pPr>
      <w:r>
        <w:rPr>
          <w:rFonts w:ascii="Calibri" w:hAnsi="Calibri" w:eastAsia="Calibri"/>
          <w:color w:val="000000"/>
          <w:sz w:val="22"/>
        </w:rPr>
        <w:t>This document shall be reviewed at least annually and after a material incident, legal or contractual change, control failure, technology change, or significant change to the system boundary or operating model.</w:t>
      </w:r>
    </w:p>
    <w:p>
      <w:pPr>
        <w:pStyle w:val="Heading1"/>
        <w:keepNext/>
      </w:pPr>
      <w:r>
        <w:t>7. Exceptions</w:t>
      </w:r>
    </w:p>
    <w:p>
      <w:pPr>
        <w:keepNext w:val="0"/>
        <w:keepLines w:val="0"/>
        <w:spacing w:before="0" w:after="120" w:line="264" w:lineRule="auto"/>
      </w:pPr>
      <w:r>
        <w:rPr>
          <w:rFonts w:ascii="Calibri" w:hAnsi="Calibri" w:eastAsia="Calibri"/>
          <w:color w:val="000000"/>
          <w:sz w:val="22"/>
        </w:rPr>
        <w:t>Exceptions require a written request identifying the affected scope, business need, risk, compensating safeguards, accountable owner, approval authority, start date, expiration date, and review cadence. Exceptions shall be tracked to expiration and do not transfer responsibility for applicable legal, contractual, or CMMC requirements.</w:t>
      </w:r>
    </w:p>
    <w:p>
      <w:pPr>
        <w:pStyle w:val="Heading1"/>
        <w:keepNext/>
      </w:pPr>
      <w:r>
        <w:t>8. Compliance and Enforcement</w:t>
      </w:r>
    </w:p>
    <w:p>
      <w:pPr>
        <w:keepNext w:val="0"/>
        <w:keepLines w:val="0"/>
        <w:spacing w:before="0" w:after="120" w:line="264" w:lineRule="auto"/>
      </w:pPr>
      <w:r>
        <w:rPr>
          <w:rFonts w:ascii="Calibri" w:hAnsi="Calibri" w:eastAsia="Calibri"/>
          <w:color w:val="000000"/>
          <w:sz w:val="22"/>
        </w:rPr>
        <w:t>Failure to comply may result in access restriction, corrective action, contract remedies, or disciplinary action consistent with law and organizational policy. Suspected violations shall be reported through {{implementation.reporting_channel}}. Compliance does not by itself establish certification; effectiveness must be demonstrated through implementation and evidence.</w:t>
      </w:r>
    </w:p>
    <w:p>
      <w:pPr>
        <w:pStyle w:val="Heading1"/>
        <w:keepNext/>
      </w:pPr>
      <w:r>
        <w:t>9. Organization Implementation Parameters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880"/>
        <w:gridCol w:w="6480"/>
      </w:tblGrid>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In-Scope Systems / Processes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{{scope.summary}} Boundary: {{scope.boundary}}. Included locations: {{scope.included_locations}}. Excluded locations: {{scope.excluded_locations}}. Systems: {{scope.systems}}. Data flow: {{scope.data_flow}}.</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Responsible Team</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{{implementation.responsible_team}}</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Required Procedures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{{implementation.procedure_location}}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Technology / Control Location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{{implementation.control_location}}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Evidence Repository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{{implementation.repository}}</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and Test Frequency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{{implementation.review_trigger}}</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Reporting Channel</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{{implementation.reporting_channel}}</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Records Retention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{{implementation.retention_period}}</w:t>
            </w:r>
          </w:p>
        </w:tc>
      </w:tr>
    </w:tbl>
    <w:p>
      <w:r>
        <w:br w:type="page"/>
      </w:r>
    </w:p>
    <w:p>
      <w:pPr>
        <w:pStyle w:val="Heading1"/>
        <w:keepNext/>
      </w:pPr>
      <w:r>
        <w:t>10. Control Alignment and Tailoring</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Suggested control alignment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CMMC: IR.L2-3.6.1, IR.L2-3.6.2, IR.L2-3.6.3; AU evidence supports incident analysis.</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Applicability decision</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Applicable unless the documented system scope and operating model support a formally approved Not Applicable determination.</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Tailoring requirement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The policy owner shall define organization-selected values, map system-specific procedures and evidence, and obtain approval before publication.</w:t>
            </w:r>
          </w:p>
        </w:tc>
      </w:tr>
    </w:tbl>
    <w:p>
      <w:pPr>
        <w:pStyle w:val="Heading1"/>
        <w:keepNext/>
      </w:pPr>
      <w:r>
        <w:t>11. References</w:t>
      </w:r>
    </w:p>
    <w:p>
      <w:pPr>
        <w:keepNext w:val="0"/>
        <w:keepLines w:val="0"/>
        <w:numPr>
          <w:ilvl w:val="0"/>
          <w:numId w:val="10"/>
        </w:numPr>
        <w:spacing w:before="0" w:after="160" w:line="280" w:lineRule="auto"/>
      </w:pPr>
      <w:r>
        <w:rPr>
          <w:rFonts w:ascii="Calibri" w:hAnsi="Calibri" w:eastAsia="Calibri"/>
          <w:color w:val="000000"/>
          <w:sz w:val="22"/>
        </w:rPr>
        <w:t>NIST SP 800-61 Rev. 3, Incident Response Recommendations: https://doi.org/10.6028/NIST.SP.800-61r3</w:t>
      </w:r>
    </w:p>
    <w:p>
      <w:pPr>
        <w:keepNext w:val="0"/>
        <w:keepLines w:val="0"/>
        <w:numPr>
          <w:ilvl w:val="0"/>
          <w:numId w:val="10"/>
        </w:numPr>
        <w:spacing w:before="0" w:after="160" w:line="280" w:lineRule="auto"/>
      </w:pPr>
      <w:r>
        <w:rPr>
          <w:rFonts w:ascii="Calibri" w:hAnsi="Calibri" w:eastAsia="Calibri"/>
          <w:color w:val="000000"/>
          <w:sz w:val="22"/>
        </w:rPr>
        <w:t>NIST Cybersecurity Framework (CSF) 2.0: https://doi.org/10.6028/NIST.CSWP.29</w:t>
      </w:r>
    </w:p>
    <w:p>
      <w:pPr>
        <w:keepNext w:val="0"/>
        <w:keepLines w:val="0"/>
        <w:numPr>
          <w:ilvl w:val="0"/>
          <w:numId w:val="10"/>
        </w:numPr>
        <w:spacing w:before="0" w:after="160" w:line="280" w:lineRule="auto"/>
      </w:pPr>
      <w:r>
        <w:rPr>
          <w:rFonts w:ascii="Calibri" w:hAnsi="Calibri" w:eastAsia="Calibri"/>
          <w:color w:val="000000"/>
          <w:sz w:val="22"/>
        </w:rPr>
        <w:t>NIST SP 800-53 Rev. 5, Security and Privacy Controls: https://doi.org/10.6028/NIST.SP.800-53r5</w:t>
      </w:r>
    </w:p>
    <w:p>
      <w:pPr>
        <w:pStyle w:val="Heading1"/>
        <w:keepNext/>
      </w:pPr>
      <w:r>
        <w:t>12. Revision History</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260"/>
        <w:gridCol w:w="1800"/>
        <w:gridCol w:w="4500"/>
        <w:gridCol w:w="1800"/>
      </w:tblGrid>
      <w:tr>
        <w:tc>
          <w:tcPr>
            <w:tcW w:type="dxa" w:w="12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Version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c>
          <w:tcPr>
            <w:tcW w:type="dxa" w:w="45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Description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Author / Approver</w:t>
            </w:r>
          </w:p>
        </w:tc>
      </w:tr>
      <w:tr>
        <w:tc>
          <w:tcPr>
            <w:tcW w:type="dxa" w:w="12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{{revision.date}}</w:t>
            </w:r>
          </w:p>
        </w:tc>
        <w:tc>
          <w:tcPr>
            <w:tcW w:type="dxa" w:w="45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Initial approved issue / {{revision.summary}}</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{{revision.author}}</w:t>
            </w:r>
          </w:p>
        </w:tc>
      </w:tr>
    </w:tbl>
    <w:p>
      <w:pPr>
        <w:pStyle w:val="Heading1"/>
        <w:keepNext/>
      </w:pPr>
      <w:r>
        <w:t>13. Approval</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3960"/>
        <w:gridCol w:w="3000"/>
        <w:gridCol w:w="2400"/>
      </w:tblGrid>
      <w:tr>
        <w:tc>
          <w:tcPr>
            <w:tcW w:type="dxa" w:w="39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Name and Title</w:t>
            </w:r>
          </w:p>
        </w:tc>
        <w:tc>
          <w:tcPr>
            <w:tcW w:type="dxa" w:w="30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Signature / Approval Record</w:t>
            </w:r>
          </w:p>
        </w:tc>
        <w:tc>
          <w:tcPr>
            <w:tcW w:type="dxa" w:w="24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r>
      <w:tr>
        <w:tc>
          <w:tcPr>
            <w:tcW w:type="dxa" w:w="39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c>
          <w:tcPr>
            <w:tcW w:type="dxa" w:w="30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{{approval.record_id}}</w:t>
            </w:r>
          </w:p>
        </w:tc>
        <w:tc>
          <w:tcPr>
            <w:tcW w:type="dxa" w:w="24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{{approval.date}}</w:t>
            </w:r>
          </w:p>
        </w:tc>
      </w:tr>
    </w:tbl>
    <w:p>
      <w:pPr>
        <w:pStyle w:val="Heading1"/>
        <w:keepNext/>
      </w:pPr>
      <w:r>
        <w:t>14. Publication Checklist</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9360"/>
      </w:tblGrid>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All organization-selected values have been completed and verified.</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The owner, approver, effective date, review date, classification, and version are correct.</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Scope and any Not Applicable decision match the current SSP and assessment boundary.</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Required procedures, configurations, operational tests, and evidence locations have been validated.</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Approval is recorded and the controlled version is ready for publication and workforce communication.</w:t>
            </w:r>
          </w:p>
        </w:tc>
      </w:tr>
    </w:tbl>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spacing w:before="0" w:after="0" w:line="240" w:lineRule="auto"/>
      <w:jc w:val="center"/>
    </w:pPr>
    <w:r>
      <w:rPr>
        <w:rFonts w:ascii="Calibri" w:hAnsi="Calibri" w:eastAsia="Calibri"/>
        <w:color w:val="59636E"/>
        <w:sz w:val="17"/>
      </w:rPr>
      <w:t xml:space="preserve">{{org.legal_name}}  |  {{doc.document_id}}  |  Version {{doc.version}}  |  Page 1 of 1</w:t>
    </w:r>
    <w:r>
      <w:rPr>
        <w:rFonts w:ascii="Calibri" w:hAnsi="Calibri" w:eastAsia="Calibri"/>
        <w:color w:val="59636E"/>
        <w:sz w:val="17"/>
      </w:rPr>
      <w:fldChar w:fldCharType="begin"/>
      <w:instrText xml:space="preserve"> PAGE </w:instrText>
      <w:fldChar w:fldCharType="separate"/>
      <w:t xml:space="preserve"/>
      <w:fldChar w:fldCharType="end"/>
    </w:r>
    <w:r>
      <w:rPr>
        <w:rFonts w:ascii="Calibri" w:hAnsi="Calibri" w:eastAsia="Calibri"/>
        <w:color w:val="59636E"/>
        <w:sz w:val="17"/>
      </w:rPr>
      <w:t xml:space="preserve"/>
    </w:r>
    <w:r>
      <w:rPr>
        <w:rFonts w:ascii="Calibri" w:hAnsi="Calibri" w:eastAsia="Calibri"/>
        <w:color w:val="59636E"/>
        <w:sz w:val="17"/>
      </w:rPr>
      <w:fldChar w:fldCharType="begin"/>
      <w:instrText xml:space="preserve"> NUMPAGES </w:instrText>
      <w:fldChar w:fldCharType="separate"/>
      <w:t xml:space="preserv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spacing w:before="0" w:after="0" w:line="240" w:lineRule="auto"/>
      <w:jc w:val="left"/>
    </w:pPr>
    <w:r>
      <w:rPr>
        <w:rFonts w:ascii="Calibri" w:hAnsi="Calibri" w:eastAsia="Calibri"/>
        <w:b/>
        <w:color w:val="59636E"/>
        <w:sz w:val="17"/>
      </w:rPr>
      <w:t>{{org.legal_name}}  |  Plan  |  {{doc.document_id}}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Breach Response Plan</dc:title>
  <dc:subject> cybersecurity policy template</dc:subject>
  <dc:creator/>
  <cp:keywords> policy template</cp:keywords>
  <dc:description>generated by python-docx</dc:description>
  <cp:lastModifiedBy/>
  <cp:revision>1</cp:revision>
  <dcterms:created xsi:type="dcterms:W3CDTF">2013-12-23T23:15:00Z</dcterms:created>
  <dcterms:modified xsi:type="dcterms:W3CDTF">2013-12-23T23:15:00Z</dcterms:modified>
  <cp:category/>
</cp:coreProperties>
</file>