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Database Credential and Privileged Access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Protect database access by eliminating shared, embedded, excessive, and unmanaged credentials.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production and non-production databases, data warehouses, analytics platforms, database services, service accounts, application identities, administrators, and vendor support access.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Human database access shall use unique identities; shared administrative accounts are prohibited except for approved emergency access with enhanced controls.</w:t>
      </w:r>
    </w:p>
    <w:p>
      <w:pPr>
        <w:keepNext w:val="0"/>
        <w:keepLines w:val="0"/>
        <w:numPr>
          <w:ilvl w:val="0"/>
          <w:numId w:val="10"/>
        </w:numPr>
        <w:spacing w:before="0" w:after="160" w:line="280" w:lineRule="auto"/>
      </w:pPr>
      <w:r>
        <w:rPr>
          <w:rFonts w:ascii="Calibri" w:hAnsi="Calibri" w:eastAsia="Calibri"/>
          <w:color w:val="000000"/>
          <w:sz w:val="22"/>
        </w:rPr>
        <w:t>Privileges shall be role-based, least-privileged, environment-specific, approved by the data or system owner, and reviewed at the organization-defined frequency.</w:t>
      </w:r>
    </w:p>
    <w:p>
      <w:pPr>
        <w:keepNext w:val="0"/>
        <w:keepLines w:val="0"/>
        <w:numPr>
          <w:ilvl w:val="0"/>
          <w:numId w:val="10"/>
        </w:numPr>
        <w:spacing w:before="0" w:after="160" w:line="280" w:lineRule="auto"/>
      </w:pPr>
      <w:r>
        <w:rPr>
          <w:rFonts w:ascii="Calibri" w:hAnsi="Calibri" w:eastAsia="Calibri"/>
          <w:color w:val="000000"/>
          <w:sz w:val="22"/>
        </w:rPr>
        <w:t>Applications shall use managed identities, workload identities, or approved secret-management services when supported; credentials shall not be hard-coded in source code, scripts, images, tickets, or documentation.</w:t>
      </w:r>
    </w:p>
    <w:p>
      <w:pPr>
        <w:keepNext w:val="0"/>
        <w:keepLines w:val="0"/>
        <w:numPr>
          <w:ilvl w:val="0"/>
          <w:numId w:val="10"/>
        </w:numPr>
        <w:spacing w:before="0" w:after="160" w:line="280" w:lineRule="auto"/>
      </w:pPr>
      <w:r>
        <w:rPr>
          <w:rFonts w:ascii="Calibri" w:hAnsi="Calibri" w:eastAsia="Calibri"/>
          <w:color w:val="000000"/>
          <w:sz w:val="22"/>
        </w:rPr>
        <w:t>Administrative access shall use multifactor authentication where supported, approved management paths, and separate privileged identities.</w:t>
      </w:r>
    </w:p>
    <w:p>
      <w:pPr>
        <w:keepNext w:val="0"/>
        <w:keepLines w:val="0"/>
        <w:numPr>
          <w:ilvl w:val="0"/>
          <w:numId w:val="10"/>
        </w:numPr>
        <w:spacing w:before="0" w:after="160" w:line="280" w:lineRule="auto"/>
      </w:pPr>
      <w:r>
        <w:rPr>
          <w:rFonts w:ascii="Calibri" w:hAnsi="Calibri" w:eastAsia="Calibri"/>
          <w:color w:val="000000"/>
          <w:sz w:val="22"/>
        </w:rPr>
        <w:t>Secrets shall be generated, stored, rotated, retrieved, logged, and revoked through approved mechanisms; rotation shall occur after suspected exposure or personnel/vendor change.</w:t>
      </w:r>
    </w:p>
    <w:p>
      <w:pPr>
        <w:keepNext w:val="0"/>
        <w:keepLines w:val="0"/>
        <w:numPr>
          <w:ilvl w:val="0"/>
          <w:numId w:val="10"/>
        </w:numPr>
        <w:spacing w:before="0" w:after="160" w:line="280" w:lineRule="auto"/>
      </w:pPr>
      <w:r>
        <w:rPr>
          <w:rFonts w:ascii="Calibri" w:hAnsi="Calibri" w:eastAsia="Calibri"/>
          <w:color w:val="000000"/>
          <w:sz w:val="22"/>
        </w:rPr>
        <w:t>Database authentication, authorization changes, privileged activity, failed access, and anomalous queries shall be logged according to risk and legal requirements.</w:t>
      </w:r>
    </w:p>
    <w:p>
      <w:pPr>
        <w:keepNext w:val="0"/>
        <w:keepLines w:val="0"/>
        <w:numPr>
          <w:ilvl w:val="0"/>
          <w:numId w:val="10"/>
        </w:numPr>
        <w:spacing w:before="0" w:after="160" w:line="280" w:lineRule="auto"/>
      </w:pPr>
      <w:r>
        <w:rPr>
          <w:rFonts w:ascii="Calibri" w:hAnsi="Calibri" w:eastAsia="Calibri"/>
          <w:color w:val="000000"/>
          <w:sz w:val="22"/>
        </w:rPr>
        <w:t>Dormant, orphaned, default, and unnecessary accounts shall be disabled or removed promptly.</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Database account inventory</w:t>
      </w:r>
    </w:p>
    <w:p>
      <w:pPr>
        <w:keepNext w:val="0"/>
        <w:keepLines w:val="0"/>
        <w:numPr>
          <w:ilvl w:val="0"/>
          <w:numId w:val="10"/>
        </w:numPr>
        <w:spacing w:before="0" w:after="160" w:line="280" w:lineRule="auto"/>
      </w:pPr>
      <w:r>
        <w:rPr>
          <w:rFonts w:ascii="Calibri" w:hAnsi="Calibri" w:eastAsia="Calibri"/>
          <w:color w:val="000000"/>
          <w:sz w:val="22"/>
        </w:rPr>
        <w:t>Access approvals and reviews</w:t>
      </w:r>
    </w:p>
    <w:p>
      <w:pPr>
        <w:keepNext w:val="0"/>
        <w:keepLines w:val="0"/>
        <w:numPr>
          <w:ilvl w:val="0"/>
          <w:numId w:val="10"/>
        </w:numPr>
        <w:spacing w:before="0" w:after="160" w:line="280" w:lineRule="auto"/>
      </w:pPr>
      <w:r>
        <w:rPr>
          <w:rFonts w:ascii="Calibri" w:hAnsi="Calibri" w:eastAsia="Calibri"/>
          <w:color w:val="000000"/>
          <w:sz w:val="22"/>
        </w:rPr>
        <w:t>Privileged-role assignments</w:t>
      </w:r>
    </w:p>
    <w:p>
      <w:pPr>
        <w:keepNext w:val="0"/>
        <w:keepLines w:val="0"/>
        <w:numPr>
          <w:ilvl w:val="0"/>
          <w:numId w:val="10"/>
        </w:numPr>
        <w:spacing w:before="0" w:after="160" w:line="280" w:lineRule="auto"/>
      </w:pPr>
      <w:r>
        <w:rPr>
          <w:rFonts w:ascii="Calibri" w:hAnsi="Calibri" w:eastAsia="Calibri"/>
          <w:color w:val="000000"/>
          <w:sz w:val="22"/>
        </w:rPr>
        <w:t>Secret-store configuration</w:t>
      </w:r>
    </w:p>
    <w:p>
      <w:pPr>
        <w:keepNext w:val="0"/>
        <w:keepLines w:val="0"/>
        <w:numPr>
          <w:ilvl w:val="0"/>
          <w:numId w:val="10"/>
        </w:numPr>
        <w:spacing w:before="0" w:after="160" w:line="280" w:lineRule="auto"/>
      </w:pPr>
      <w:r>
        <w:rPr>
          <w:rFonts w:ascii="Calibri" w:hAnsi="Calibri" w:eastAsia="Calibri"/>
          <w:color w:val="000000"/>
          <w:sz w:val="22"/>
        </w:rPr>
        <w:t>Rotation/revocation evidence</w:t>
      </w:r>
    </w:p>
    <w:p>
      <w:pPr>
        <w:keepNext w:val="0"/>
        <w:keepLines w:val="0"/>
        <w:numPr>
          <w:ilvl w:val="0"/>
          <w:numId w:val="10"/>
        </w:numPr>
        <w:spacing w:before="0" w:after="160" w:line="280" w:lineRule="auto"/>
      </w:pPr>
      <w:r>
        <w:rPr>
          <w:rFonts w:ascii="Calibri" w:hAnsi="Calibri" w:eastAsia="Calibri"/>
          <w:color w:val="000000"/>
          <w:sz w:val="22"/>
        </w:rPr>
        <w:t>Database audit logs and alert tests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Shared or orphaned database accounts</w:t>
      </w:r>
    </w:p>
    <w:p>
      <w:pPr>
        <w:keepNext w:val="0"/>
        <w:keepLines w:val="0"/>
        <w:numPr>
          <w:ilvl w:val="0"/>
          <w:numId w:val="10"/>
        </w:numPr>
        <w:spacing w:before="0" w:after="160" w:line="280" w:lineRule="auto"/>
      </w:pPr>
      <w:r>
        <w:rPr>
          <w:rFonts w:ascii="Calibri" w:hAnsi="Calibri" w:eastAsia="Calibri"/>
          <w:color w:val="000000"/>
          <w:sz w:val="22"/>
        </w:rPr>
        <w:t>Access reviews completed</w:t>
      </w:r>
    </w:p>
    <w:p>
      <w:pPr>
        <w:keepNext w:val="0"/>
        <w:keepLines w:val="0"/>
        <w:numPr>
          <w:ilvl w:val="0"/>
          <w:numId w:val="10"/>
        </w:numPr>
        <w:spacing w:before="0" w:after="160" w:line="280" w:lineRule="auto"/>
      </w:pPr>
      <w:r>
        <w:rPr>
          <w:rFonts w:ascii="Calibri" w:hAnsi="Calibri" w:eastAsia="Calibri"/>
          <w:color w:val="000000"/>
          <w:sz w:val="22"/>
        </w:rPr>
        <w:t>Secrets rotated within standard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AC.L1-3.1.1, AC.L1-3.1.2, AC.L2-3.1.5, AC.L2-3.1.7; IA.L1-3.5.1 and IA.L1-3.5.2.</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800-63B-4, Authentication and Authenticator Management: https://doi.org/10.6028/NIST.SP.800-63B-4</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Credential and Privileged Access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