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Dial-In and Legacy Remote Access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Restrict dial-in, modem, and other legacy remote-access methods that bypass modern access gateways and monitoring.</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any line, modem, terminal server, out-of-band device, vendor appliance, fax interface, or service capable of accepting inbound connections to organizational equipment.</w:t>
      </w:r>
    </w:p>
    <w:p>
      <w:pPr>
        <w:keepNext w:val="0"/>
        <w:keepLines w:val="0"/>
        <w:spacing w:before="0" w:after="120" w:line="264" w:lineRule="auto"/>
      </w:pPr>
      <w:r>
        <w:rPr>
          <w:rFonts w:ascii="Calibri" w:hAnsi="Calibri" w:eastAsia="Calibri"/>
          <w:b/>
          <w:color w:val="000000"/>
          <w:sz w:val="22"/>
        </w:rPr>
        <w:t xml:space="preserve">Not Applicable path. </w:t>
      </w:r>
      <w:r>
        <w:rPr>
          <w:rFonts w:ascii="Calibri" w:hAnsi="Calibri" w:eastAsia="Calibri"/>
          <w:color w:val="000000"/>
          <w:sz w:val="22"/>
        </w:rPr>
        <w:t>If no dial-in or modem-based remote access exists, record the discovery methods, carrier/inventory reconciliation, reviewer, date, and approval of Not Applicable status.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Inbound dial-in access is prohibited unless a documented operational requirement cannot be met through an approved managed alternative.</w:t>
      </w:r>
    </w:p>
    <w:p>
      <w:pPr>
        <w:keepNext w:val="0"/>
        <w:keepLines w:val="0"/>
        <w:numPr>
          <w:ilvl w:val="0"/>
          <w:numId w:val="10"/>
        </w:numPr>
        <w:spacing w:before="0" w:after="160" w:line="280" w:lineRule="auto"/>
      </w:pPr>
      <w:r>
        <w:rPr>
          <w:rFonts w:ascii="Calibri" w:hAnsi="Calibri" w:eastAsia="Calibri"/>
          <w:color w:val="000000"/>
          <w:sz w:val="22"/>
        </w:rPr>
        <w:t>Approved access shall terminate in a controlled gateway or isolated segment and shall not provide unrestricted routing to internal networks.</w:t>
      </w:r>
    </w:p>
    <w:p>
      <w:pPr>
        <w:keepNext w:val="0"/>
        <w:keepLines w:val="0"/>
        <w:numPr>
          <w:ilvl w:val="0"/>
          <w:numId w:val="10"/>
        </w:numPr>
        <w:spacing w:before="0" w:after="160" w:line="280" w:lineRule="auto"/>
      </w:pPr>
      <w:r>
        <w:rPr>
          <w:rFonts w:ascii="Calibri" w:hAnsi="Calibri" w:eastAsia="Calibri"/>
          <w:color w:val="000000"/>
          <w:sz w:val="22"/>
        </w:rPr>
        <w:t>Named authorization, strong authentication, time-limited enablement, callback or allowlisting where supported, logging, monitoring, and explicit owner supervision are required.</w:t>
      </w:r>
    </w:p>
    <w:p>
      <w:pPr>
        <w:keepNext w:val="0"/>
        <w:keepLines w:val="0"/>
        <w:numPr>
          <w:ilvl w:val="0"/>
          <w:numId w:val="10"/>
        </w:numPr>
        <w:spacing w:before="0" w:after="160" w:line="280" w:lineRule="auto"/>
      </w:pPr>
      <w:r>
        <w:rPr>
          <w:rFonts w:ascii="Calibri" w:hAnsi="Calibri" w:eastAsia="Calibri"/>
          <w:color w:val="000000"/>
          <w:sz w:val="22"/>
        </w:rPr>
        <w:t>Default credentials, auto-answer, unused accounts, and unnecessary protocols shall be disabled; configuration shall be validated after maintenance.</w:t>
      </w:r>
    </w:p>
    <w:p>
      <w:pPr>
        <w:keepNext w:val="0"/>
        <w:keepLines w:val="0"/>
        <w:numPr>
          <w:ilvl w:val="0"/>
          <w:numId w:val="10"/>
        </w:numPr>
        <w:spacing w:before="0" w:after="160" w:line="280" w:lineRule="auto"/>
      </w:pPr>
      <w:r>
        <w:rPr>
          <w:rFonts w:ascii="Calibri" w:hAnsi="Calibri" w:eastAsia="Calibri"/>
          <w:color w:val="000000"/>
          <w:sz w:val="22"/>
        </w:rPr>
        <w:t>Vendor access shall be enabled only for an approved service window and disabled immediately afterward.</w:t>
      </w:r>
    </w:p>
    <w:p>
      <w:pPr>
        <w:keepNext w:val="0"/>
        <w:keepLines w:val="0"/>
        <w:numPr>
          <w:ilvl w:val="0"/>
          <w:numId w:val="10"/>
        </w:numPr>
        <w:spacing w:before="0" w:after="160" w:line="280" w:lineRule="auto"/>
      </w:pPr>
      <w:r>
        <w:rPr>
          <w:rFonts w:ascii="Calibri" w:hAnsi="Calibri" w:eastAsia="Calibri"/>
          <w:color w:val="000000"/>
          <w:sz w:val="22"/>
        </w:rPr>
        <w:t>Security shall periodically test for unauthorized dial-in capability and reconcile carrier services against the inventory.</w:t>
      </w:r>
    </w:p>
    <w:p>
      <w:pPr>
        <w:keepNext w:val="0"/>
        <w:keepLines w:val="0"/>
        <w:numPr>
          <w:ilvl w:val="0"/>
          <w:numId w:val="10"/>
        </w:numPr>
        <w:spacing w:before="0" w:after="160" w:line="280" w:lineRule="auto"/>
      </w:pPr>
      <w:r>
        <w:rPr>
          <w:rFonts w:ascii="Calibri" w:hAnsi="Calibri" w:eastAsia="Calibri"/>
          <w:color w:val="000000"/>
          <w:sz w:val="22"/>
        </w:rPr>
        <w:t>All exceptions shall include a retirement date and documented migration plan.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Dial-in inventory</w:t>
      </w:r>
    </w:p>
    <w:p>
      <w:pPr>
        <w:keepNext w:val="0"/>
        <w:keepLines w:val="0"/>
        <w:numPr>
          <w:ilvl w:val="0"/>
          <w:numId w:val="10"/>
        </w:numPr>
        <w:spacing w:before="0" w:after="160" w:line="280" w:lineRule="auto"/>
      </w:pPr>
      <w:r>
        <w:rPr>
          <w:rFonts w:ascii="Calibri" w:hAnsi="Calibri" w:eastAsia="Calibri"/>
          <w:color w:val="000000"/>
          <w:sz w:val="22"/>
        </w:rPr>
        <w:t>Exception and migration plan</w:t>
      </w:r>
    </w:p>
    <w:p>
      <w:pPr>
        <w:keepNext w:val="0"/>
        <w:keepLines w:val="0"/>
        <w:numPr>
          <w:ilvl w:val="0"/>
          <w:numId w:val="10"/>
        </w:numPr>
        <w:spacing w:before="0" w:after="160" w:line="280" w:lineRule="auto"/>
      </w:pPr>
      <w:r>
        <w:rPr>
          <w:rFonts w:ascii="Calibri" w:hAnsi="Calibri" w:eastAsia="Calibri"/>
          <w:color w:val="000000"/>
          <w:sz w:val="22"/>
        </w:rPr>
        <w:t>Network diagram</w:t>
      </w:r>
    </w:p>
    <w:p>
      <w:pPr>
        <w:keepNext w:val="0"/>
        <w:keepLines w:val="0"/>
        <w:numPr>
          <w:ilvl w:val="0"/>
          <w:numId w:val="10"/>
        </w:numPr>
        <w:spacing w:before="0" w:after="160" w:line="280" w:lineRule="auto"/>
      </w:pPr>
      <w:r>
        <w:rPr>
          <w:rFonts w:ascii="Calibri" w:hAnsi="Calibri" w:eastAsia="Calibri"/>
          <w:color w:val="000000"/>
          <w:sz w:val="22"/>
        </w:rPr>
        <w:t>Authentication and configuration evidence</w:t>
      </w:r>
    </w:p>
    <w:p>
      <w:pPr>
        <w:keepNext w:val="0"/>
        <w:keepLines w:val="0"/>
        <w:numPr>
          <w:ilvl w:val="0"/>
          <w:numId w:val="10"/>
        </w:numPr>
        <w:spacing w:before="0" w:after="160" w:line="280" w:lineRule="auto"/>
      </w:pPr>
      <w:r>
        <w:rPr>
          <w:rFonts w:ascii="Calibri" w:hAnsi="Calibri" w:eastAsia="Calibri"/>
          <w:color w:val="000000"/>
          <w:sz w:val="22"/>
        </w:rPr>
        <w:t>Session/access logs</w:t>
      </w:r>
    </w:p>
    <w:p>
      <w:pPr>
        <w:keepNext w:val="0"/>
        <w:keepLines w:val="0"/>
        <w:numPr>
          <w:ilvl w:val="0"/>
          <w:numId w:val="10"/>
        </w:numPr>
        <w:spacing w:before="0" w:after="160" w:line="280" w:lineRule="auto"/>
      </w:pPr>
      <w:r>
        <w:rPr>
          <w:rFonts w:ascii="Calibri" w:hAnsi="Calibri" w:eastAsia="Calibri"/>
          <w:color w:val="000000"/>
          <w:sz w:val="22"/>
        </w:rPr>
        <w:t>Periodic discovery test</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Approved dial-in paths</w:t>
      </w:r>
    </w:p>
    <w:p>
      <w:pPr>
        <w:keepNext w:val="0"/>
        <w:keepLines w:val="0"/>
        <w:numPr>
          <w:ilvl w:val="0"/>
          <w:numId w:val="10"/>
        </w:numPr>
        <w:spacing w:before="0" w:after="160" w:line="280" w:lineRule="auto"/>
      </w:pPr>
      <w:r>
        <w:rPr>
          <w:rFonts w:ascii="Calibri" w:hAnsi="Calibri" w:eastAsia="Calibri"/>
          <w:color w:val="000000"/>
          <w:sz w:val="22"/>
        </w:rPr>
        <w:t>Unauthorized modems detected</w:t>
      </w:r>
    </w:p>
    <w:p>
      <w:pPr>
        <w:keepNext w:val="0"/>
        <w:keepLines w:val="0"/>
        <w:numPr>
          <w:ilvl w:val="0"/>
          <w:numId w:val="10"/>
        </w:numPr>
        <w:spacing w:before="0" w:after="160" w:line="280" w:lineRule="auto"/>
      </w:pPr>
      <w:r>
        <w:rPr>
          <w:rFonts w:ascii="Calibri" w:hAnsi="Calibri" w:eastAsia="Calibri"/>
          <w:color w:val="000000"/>
          <w:sz w:val="22"/>
        </w:rPr>
        <w:t>Legacy remote-access retirement milestones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AC.L2-3.1.12, AC.L2-3.1.13, AC.L2-3.1.14; SC.L2-3.13.1.</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If no dial-in or modem-based remote access exists, record the discovery methods, carrier/inventory reconciliation, reviewer, date, and approval of Not Applicable status.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Dial-In and Legacy Remote Access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