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Electronic and Digital Signature Acceptance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when electronic and cryptographic signatures may be accepted as evidence of identity, intent, approval, integrity, or non-repudiation.</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business approvals, contracts, records, code signing, certificates, transactions, and other workflows that use typed, drawn, platform-based, certificate-based, or cryptographic signatures.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Business owners shall select a signature method appropriate to transaction value, legal requirement, identity assurance, fraud risk, record sensitivity, and dispute consequences.</w:t>
      </w:r>
    </w:p>
    <w:p>
      <w:pPr>
        <w:keepNext w:val="0"/>
        <w:keepLines w:val="0"/>
        <w:numPr>
          <w:ilvl w:val="0"/>
          <w:numId w:val="10"/>
        </w:numPr>
        <w:spacing w:before="0" w:after="160" w:line="280" w:lineRule="auto"/>
      </w:pPr>
      <w:r>
        <w:rPr>
          <w:rFonts w:ascii="Calibri" w:hAnsi="Calibri" w:eastAsia="Calibri"/>
          <w:color w:val="000000"/>
          <w:sz w:val="22"/>
        </w:rPr>
        <w:t>Legal shall approve signature methods for regulated, contractual, employment, financial, or high-value transactions.</w:t>
      </w:r>
    </w:p>
    <w:p>
      <w:pPr>
        <w:keepNext w:val="0"/>
        <w:keepLines w:val="0"/>
        <w:numPr>
          <w:ilvl w:val="0"/>
          <w:numId w:val="10"/>
        </w:numPr>
        <w:spacing w:before="0" w:after="160" w:line="280" w:lineRule="auto"/>
      </w:pPr>
      <w:r>
        <w:rPr>
          <w:rFonts w:ascii="Calibri" w:hAnsi="Calibri" w:eastAsia="Calibri"/>
          <w:color w:val="000000"/>
          <w:sz w:val="22"/>
        </w:rPr>
        <w:t>Approved services shall authenticate signers, protect document integrity, record consent and intent, retain a complete audit trail, and support reliable export and validation.</w:t>
      </w:r>
    </w:p>
    <w:p>
      <w:pPr>
        <w:keepNext w:val="0"/>
        <w:keepLines w:val="0"/>
        <w:numPr>
          <w:ilvl w:val="0"/>
          <w:numId w:val="10"/>
        </w:numPr>
        <w:spacing w:before="0" w:after="160" w:line="280" w:lineRule="auto"/>
      </w:pPr>
      <w:r>
        <w:rPr>
          <w:rFonts w:ascii="Calibri" w:hAnsi="Calibri" w:eastAsia="Calibri"/>
          <w:color w:val="000000"/>
          <w:sz w:val="22"/>
        </w:rPr>
        <w:t>Certificate-based signatures shall use approved algorithms, protected private keys, trustworthy issuance, revocation checking, and time validation where required.</w:t>
      </w:r>
    </w:p>
    <w:p>
      <w:pPr>
        <w:keepNext w:val="0"/>
        <w:keepLines w:val="0"/>
        <w:numPr>
          <w:ilvl w:val="0"/>
          <w:numId w:val="10"/>
        </w:numPr>
        <w:spacing w:before="0" w:after="160" w:line="280" w:lineRule="auto"/>
      </w:pPr>
      <w:r>
        <w:rPr>
          <w:rFonts w:ascii="Calibri" w:hAnsi="Calibri" w:eastAsia="Calibri"/>
          <w:color w:val="000000"/>
          <w:sz w:val="22"/>
        </w:rPr>
        <w:t>Signature images or typed names alone shall not be treated as cryptographic proof and shall not be used where stronger assurance is required.</w:t>
      </w:r>
    </w:p>
    <w:p>
      <w:pPr>
        <w:keepNext w:val="0"/>
        <w:keepLines w:val="0"/>
        <w:numPr>
          <w:ilvl w:val="0"/>
          <w:numId w:val="10"/>
        </w:numPr>
        <w:spacing w:before="0" w:after="160" w:line="280" w:lineRule="auto"/>
      </w:pPr>
      <w:r>
        <w:rPr>
          <w:rFonts w:ascii="Calibri" w:hAnsi="Calibri" w:eastAsia="Calibri"/>
          <w:color w:val="000000"/>
          <w:sz w:val="22"/>
        </w:rPr>
        <w:t>Delegated signing authority shall be documented; users may not sign for another person without explicit legal and organizational authority.</w:t>
      </w:r>
    </w:p>
    <w:p>
      <w:pPr>
        <w:keepNext w:val="0"/>
        <w:keepLines w:val="0"/>
        <w:numPr>
          <w:ilvl w:val="0"/>
          <w:numId w:val="10"/>
        </w:numPr>
        <w:spacing w:before="0" w:after="160" w:line="280" w:lineRule="auto"/>
      </w:pPr>
      <w:r>
        <w:rPr>
          <w:rFonts w:ascii="Calibri" w:hAnsi="Calibri" w:eastAsia="Calibri"/>
          <w:color w:val="000000"/>
          <w:sz w:val="22"/>
        </w:rPr>
        <w:t>Signed records and validation evidence shall be retained for the required business and legal period.</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Approved signature-method register</w:t>
      </w:r>
    </w:p>
    <w:p>
      <w:pPr>
        <w:keepNext w:val="0"/>
        <w:keepLines w:val="0"/>
        <w:numPr>
          <w:ilvl w:val="0"/>
          <w:numId w:val="10"/>
        </w:numPr>
        <w:spacing w:before="0" w:after="160" w:line="280" w:lineRule="auto"/>
      </w:pPr>
      <w:r>
        <w:rPr>
          <w:rFonts w:ascii="Calibri" w:hAnsi="Calibri" w:eastAsia="Calibri"/>
          <w:color w:val="000000"/>
          <w:sz w:val="22"/>
        </w:rPr>
        <w:t>Legal approval</w:t>
      </w:r>
    </w:p>
    <w:p>
      <w:pPr>
        <w:keepNext w:val="0"/>
        <w:keepLines w:val="0"/>
        <w:numPr>
          <w:ilvl w:val="0"/>
          <w:numId w:val="10"/>
        </w:numPr>
        <w:spacing w:before="0" w:after="160" w:line="280" w:lineRule="auto"/>
      </w:pPr>
      <w:r>
        <w:rPr>
          <w:rFonts w:ascii="Calibri" w:hAnsi="Calibri" w:eastAsia="Calibri"/>
          <w:color w:val="000000"/>
          <w:sz w:val="22"/>
        </w:rPr>
        <w:t>Signer authentication and consent record</w:t>
      </w:r>
    </w:p>
    <w:p>
      <w:pPr>
        <w:keepNext w:val="0"/>
        <w:keepLines w:val="0"/>
        <w:numPr>
          <w:ilvl w:val="0"/>
          <w:numId w:val="10"/>
        </w:numPr>
        <w:spacing w:before="0" w:after="160" w:line="280" w:lineRule="auto"/>
      </w:pPr>
      <w:r>
        <w:rPr>
          <w:rFonts w:ascii="Calibri" w:hAnsi="Calibri" w:eastAsia="Calibri"/>
          <w:color w:val="000000"/>
          <w:sz w:val="22"/>
        </w:rPr>
        <w:t>Audit trail</w:t>
      </w:r>
    </w:p>
    <w:p>
      <w:pPr>
        <w:keepNext w:val="0"/>
        <w:keepLines w:val="0"/>
        <w:numPr>
          <w:ilvl w:val="0"/>
          <w:numId w:val="10"/>
        </w:numPr>
        <w:spacing w:before="0" w:after="160" w:line="280" w:lineRule="auto"/>
      </w:pPr>
      <w:r>
        <w:rPr>
          <w:rFonts w:ascii="Calibri" w:hAnsi="Calibri" w:eastAsia="Calibri"/>
          <w:color w:val="000000"/>
          <w:sz w:val="22"/>
        </w:rPr>
        <w:t>Certificate validation evidence</w:t>
      </w:r>
    </w:p>
    <w:p>
      <w:pPr>
        <w:keepNext w:val="0"/>
        <w:keepLines w:val="0"/>
        <w:numPr>
          <w:ilvl w:val="0"/>
          <w:numId w:val="10"/>
        </w:numPr>
        <w:spacing w:before="0" w:after="160" w:line="280" w:lineRule="auto"/>
      </w:pPr>
      <w:r>
        <w:rPr>
          <w:rFonts w:ascii="Calibri" w:hAnsi="Calibri" w:eastAsia="Calibri"/>
          <w:color w:val="000000"/>
          <w:sz w:val="22"/>
        </w:rPr>
        <w:t>Delegation record</w:t>
      </w:r>
    </w:p>
    <w:p>
      <w:pPr>
        <w:keepNext w:val="0"/>
        <w:keepLines w:val="0"/>
        <w:numPr>
          <w:ilvl w:val="0"/>
          <w:numId w:val="10"/>
        </w:numPr>
        <w:spacing w:before="0" w:after="160" w:line="280" w:lineRule="auto"/>
      </w:pPr>
      <w:r>
        <w:rPr>
          <w:rFonts w:ascii="Calibri" w:hAnsi="Calibri" w:eastAsia="Calibri"/>
          <w:color w:val="000000"/>
          <w:sz w:val="22"/>
        </w:rPr>
        <w:t>Retention/disposition evidence</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Approved signature platforms</w:t>
      </w:r>
    </w:p>
    <w:p>
      <w:pPr>
        <w:keepNext w:val="0"/>
        <w:keepLines w:val="0"/>
        <w:numPr>
          <w:ilvl w:val="0"/>
          <w:numId w:val="10"/>
        </w:numPr>
        <w:spacing w:before="0" w:after="160" w:line="280" w:lineRule="auto"/>
      </w:pPr>
      <w:r>
        <w:rPr>
          <w:rFonts w:ascii="Calibri" w:hAnsi="Calibri" w:eastAsia="Calibri"/>
          <w:color w:val="000000"/>
          <w:sz w:val="22"/>
        </w:rPr>
        <w:t>Failed or unverifiable signatures</w:t>
      </w:r>
    </w:p>
    <w:p>
      <w:pPr>
        <w:keepNext w:val="0"/>
        <w:keepLines w:val="0"/>
        <w:numPr>
          <w:ilvl w:val="0"/>
          <w:numId w:val="10"/>
        </w:numPr>
        <w:spacing w:before="0" w:after="160" w:line="280" w:lineRule="auto"/>
      </w:pPr>
      <w:r>
        <w:rPr>
          <w:rFonts w:ascii="Calibri" w:hAnsi="Calibri" w:eastAsia="Calibri"/>
          <w:color w:val="000000"/>
          <w:sz w:val="22"/>
        </w:rPr>
        <w:t>Expired signing certificates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Potential CMMC alignment: IA identity proofing; SC.L2-3.13.10 key management; AU records. Confirm contract-specific signature requirements.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FIPS 186-5, Digital Signature Standard: https://doi.org/10.6028/NIST.FIPS.186-5</w:t>
      </w:r>
    </w:p>
    <w:p>
      <w:pPr>
        <w:keepNext w:val="0"/>
        <w:keepLines w:val="0"/>
        <w:numPr>
          <w:ilvl w:val="0"/>
          <w:numId w:val="10"/>
        </w:numPr>
        <w:spacing w:before="0" w:after="160" w:line="280" w:lineRule="auto"/>
      </w:pPr>
      <w:r>
        <w:rPr>
          <w:rFonts w:ascii="Calibri" w:hAnsi="Calibri" w:eastAsia="Calibri"/>
          <w:color w:val="000000"/>
          <w:sz w:val="22"/>
        </w:rPr>
        <w:t>NIST SP 800-57 Part 1 Rev. 5, Key Management: https://doi.org/10.6028/NIST.SP.800-57pt1r5</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and Digital Signature Acceptance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