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PLAN</w:t>
      </w:r>
    </w:p>
    <w:p>
      <w:pPr>
        <w:keepNext/>
        <w:keepLines w:val="0"/>
        <w:spacing w:before="0" w:after="100" w:line="240" w:lineRule="auto"/>
      </w:pPr>
      <w:r>
        <w:rPr>
          <w:rFonts w:ascii="Calibri" w:hAnsi="Calibri" w:eastAsia="Calibri"/>
          <w:b/>
          <w:color w:val="0B2545"/>
          <w:sz w:val="46"/>
        </w:rPr>
        <w:t>Information Technology Disaster Recovery Plan</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how {{org.legal_name}} will restore prioritized technology services and data following a disruptive event.</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systems, applications, infrastructure, cloud services, data, facilities, suppliers, and personnel identified in the business impact analysis and recovery inventory.</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Each in-scope service shall have an accountable owner, recovery tier, recovery time objective (RTO), recovery point objective (RPO), dependencies, restoration procedure, and validation criteria.</w:t>
      </w:r>
    </w:p>
    <w:p>
      <w:pPr>
        <w:keepNext w:val="0"/>
        <w:keepLines w:val="0"/>
        <w:numPr>
          <w:ilvl w:val="0"/>
          <w:numId w:val="10"/>
        </w:numPr>
        <w:spacing w:before="0" w:after="160" w:line="280" w:lineRule="auto"/>
      </w:pPr>
      <w:r>
        <w:rPr>
          <w:rFonts w:ascii="Calibri" w:hAnsi="Calibri" w:eastAsia="Calibri"/>
          <w:color w:val="000000"/>
          <w:sz w:val="22"/>
        </w:rPr>
        <w:t>Backups shall be protected against unauthorized access and destructive events, monitored for success, retained according to recovery need, and tested through representative restoration.</w:t>
      </w:r>
    </w:p>
    <w:p>
      <w:pPr>
        <w:keepNext w:val="0"/>
        <w:keepLines w:val="0"/>
        <w:numPr>
          <w:ilvl w:val="0"/>
          <w:numId w:val="10"/>
        </w:numPr>
        <w:spacing w:before="0" w:after="160" w:line="280" w:lineRule="auto"/>
      </w:pPr>
      <w:r>
        <w:rPr>
          <w:rFonts w:ascii="Calibri" w:hAnsi="Calibri" w:eastAsia="Calibri"/>
          <w:color w:val="000000"/>
          <w:sz w:val="22"/>
        </w:rPr>
        <w:t>The plan shall define activation authority, incident leadership, communication methods, alternate facilities or platforms, vendor escalation, resource requirements, and manual workarounds.</w:t>
      </w:r>
    </w:p>
    <w:p>
      <w:pPr>
        <w:keepNext w:val="0"/>
        <w:keepLines w:val="0"/>
        <w:numPr>
          <w:ilvl w:val="0"/>
          <w:numId w:val="10"/>
        </w:numPr>
        <w:spacing w:before="0" w:after="160" w:line="280" w:lineRule="auto"/>
      </w:pPr>
      <w:r>
        <w:rPr>
          <w:rFonts w:ascii="Calibri" w:hAnsi="Calibri" w:eastAsia="Calibri"/>
          <w:color w:val="000000"/>
          <w:sz w:val="22"/>
        </w:rPr>
        <w:t>Recovery procedures shall identify trusted configuration sources, credentials and key access, sequencing, network dependencies, data reconciliation, security validation, and return-to-service approval.</w:t>
      </w:r>
    </w:p>
    <w:p>
      <w:pPr>
        <w:keepNext w:val="0"/>
        <w:keepLines w:val="0"/>
        <w:numPr>
          <w:ilvl w:val="0"/>
          <w:numId w:val="10"/>
        </w:numPr>
        <w:spacing w:before="0" w:after="160" w:line="280" w:lineRule="auto"/>
      </w:pPr>
      <w:r>
        <w:rPr>
          <w:rFonts w:ascii="Calibri" w:hAnsi="Calibri" w:eastAsia="Calibri"/>
          <w:color w:val="000000"/>
          <w:sz w:val="22"/>
        </w:rPr>
        <w:t>Critical contacts and procedures shall be accessible during primary-system outage and protected from unauthorized disclosure.</w:t>
      </w:r>
    </w:p>
    <w:p>
      <w:pPr>
        <w:keepNext w:val="0"/>
        <w:keepLines w:val="0"/>
        <w:numPr>
          <w:ilvl w:val="0"/>
          <w:numId w:val="10"/>
        </w:numPr>
        <w:spacing w:before="0" w:after="160" w:line="280" w:lineRule="auto"/>
      </w:pPr>
      <w:r>
        <w:rPr>
          <w:rFonts w:ascii="Calibri" w:hAnsi="Calibri" w:eastAsia="Calibri"/>
          <w:color w:val="000000"/>
          <w:sz w:val="22"/>
        </w:rPr>
        <w:t>Exercises shall occur at least annually and after material changes; high-impact services shall receive scenario-based or technical recovery tests at a risk-defined frequency.</w:t>
      </w:r>
    </w:p>
    <w:p>
      <w:pPr>
        <w:keepNext w:val="0"/>
        <w:keepLines w:val="0"/>
        <w:numPr>
          <w:ilvl w:val="0"/>
          <w:numId w:val="10"/>
        </w:numPr>
        <w:spacing w:before="0" w:after="160" w:line="280" w:lineRule="auto"/>
      </w:pPr>
      <w:r>
        <w:rPr>
          <w:rFonts w:ascii="Calibri" w:hAnsi="Calibri" w:eastAsia="Calibri"/>
          <w:color w:val="000000"/>
          <w:sz w:val="22"/>
        </w:rPr>
        <w:t>Test and event findings shall be assigned, tracked, retested, and incorporated into the plan and architecture.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Recovery Lead</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Authorize activation, priorities, extraordinary spending, and return to normal operations.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Recovery Coordinator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the plan, lead exercises, and coordinate teams.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Define objectives, procedures, dependencies, and acceptance tests.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Technical Teams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Restore, secure, test, and document services.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Business Units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Validate business function and reconcile transactions/data.</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Business impact analysis</w:t>
      </w:r>
    </w:p>
    <w:p>
      <w:pPr>
        <w:keepNext w:val="0"/>
        <w:keepLines w:val="0"/>
        <w:numPr>
          <w:ilvl w:val="0"/>
          <w:numId w:val="10"/>
        </w:numPr>
        <w:spacing w:before="0" w:after="160" w:line="280" w:lineRule="auto"/>
      </w:pPr>
      <w:r>
        <w:rPr>
          <w:rFonts w:ascii="Calibri" w:hAnsi="Calibri" w:eastAsia="Calibri"/>
          <w:color w:val="000000"/>
          <w:sz w:val="22"/>
        </w:rPr>
        <w:t>Service recovery inventory</w:t>
      </w:r>
    </w:p>
    <w:p>
      <w:pPr>
        <w:keepNext w:val="0"/>
        <w:keepLines w:val="0"/>
        <w:numPr>
          <w:ilvl w:val="0"/>
          <w:numId w:val="10"/>
        </w:numPr>
        <w:spacing w:before="0" w:after="160" w:line="280" w:lineRule="auto"/>
      </w:pPr>
      <w:r>
        <w:rPr>
          <w:rFonts w:ascii="Calibri" w:hAnsi="Calibri" w:eastAsia="Calibri"/>
          <w:color w:val="000000"/>
          <w:sz w:val="22"/>
        </w:rPr>
        <w:t>Backup and replication reports</w:t>
      </w:r>
    </w:p>
    <w:p>
      <w:pPr>
        <w:keepNext w:val="0"/>
        <w:keepLines w:val="0"/>
        <w:numPr>
          <w:ilvl w:val="0"/>
          <w:numId w:val="10"/>
        </w:numPr>
        <w:spacing w:before="0" w:after="160" w:line="280" w:lineRule="auto"/>
      </w:pPr>
      <w:r>
        <w:rPr>
          <w:rFonts w:ascii="Calibri" w:hAnsi="Calibri" w:eastAsia="Calibri"/>
          <w:color w:val="000000"/>
          <w:sz w:val="22"/>
        </w:rPr>
        <w:t>Restoration test evidence</w:t>
      </w:r>
    </w:p>
    <w:p>
      <w:pPr>
        <w:keepNext w:val="0"/>
        <w:keepLines w:val="0"/>
        <w:numPr>
          <w:ilvl w:val="0"/>
          <w:numId w:val="10"/>
        </w:numPr>
        <w:spacing w:before="0" w:after="160" w:line="280" w:lineRule="auto"/>
      </w:pPr>
      <w:r>
        <w:rPr>
          <w:rFonts w:ascii="Calibri" w:hAnsi="Calibri" w:eastAsia="Calibri"/>
          <w:color w:val="000000"/>
          <w:sz w:val="22"/>
        </w:rPr>
        <w:t>Exercise report</w:t>
      </w:r>
    </w:p>
    <w:p>
      <w:pPr>
        <w:keepNext w:val="0"/>
        <w:keepLines w:val="0"/>
        <w:numPr>
          <w:ilvl w:val="0"/>
          <w:numId w:val="10"/>
        </w:numPr>
        <w:spacing w:before="0" w:after="160" w:line="280" w:lineRule="auto"/>
      </w:pPr>
      <w:r>
        <w:rPr>
          <w:rFonts w:ascii="Calibri" w:hAnsi="Calibri" w:eastAsia="Calibri"/>
          <w:color w:val="000000"/>
          <w:sz w:val="22"/>
        </w:rPr>
        <w:t>Recovery decision log</w:t>
      </w:r>
    </w:p>
    <w:p>
      <w:pPr>
        <w:keepNext w:val="0"/>
        <w:keepLines w:val="0"/>
        <w:numPr>
          <w:ilvl w:val="0"/>
          <w:numId w:val="10"/>
        </w:numPr>
        <w:spacing w:before="0" w:after="160" w:line="280" w:lineRule="auto"/>
      </w:pPr>
      <w:r>
        <w:rPr>
          <w:rFonts w:ascii="Calibri" w:hAnsi="Calibri" w:eastAsia="Calibri"/>
          <w:color w:val="000000"/>
          <w:sz w:val="22"/>
        </w:rPr>
        <w:t>Corrective-action register</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Services with approved RTO/RPO</w:t>
      </w:r>
    </w:p>
    <w:p>
      <w:pPr>
        <w:keepNext w:val="0"/>
        <w:keepLines w:val="0"/>
        <w:numPr>
          <w:ilvl w:val="0"/>
          <w:numId w:val="10"/>
        </w:numPr>
        <w:spacing w:before="0" w:after="160" w:line="280" w:lineRule="auto"/>
      </w:pPr>
      <w:r>
        <w:rPr>
          <w:rFonts w:ascii="Calibri" w:hAnsi="Calibri" w:eastAsia="Calibri"/>
          <w:color w:val="000000"/>
          <w:sz w:val="22"/>
        </w:rPr>
        <w:t>Backup restore tests passed</w:t>
      </w:r>
    </w:p>
    <w:p>
      <w:pPr>
        <w:keepNext w:val="0"/>
        <w:keepLines w:val="0"/>
        <w:numPr>
          <w:ilvl w:val="0"/>
          <w:numId w:val="10"/>
        </w:numPr>
        <w:spacing w:before="0" w:after="160" w:line="280" w:lineRule="auto"/>
      </w:pPr>
      <w:r>
        <w:rPr>
          <w:rFonts w:ascii="Calibri" w:hAnsi="Calibri" w:eastAsia="Calibri"/>
          <w:color w:val="000000"/>
          <w:sz w:val="22"/>
        </w:rPr>
        <w:t>Recovery objectives met during exercises</w:t>
      </w:r>
    </w:p>
    <w:p>
      <w:pPr>
        <w:keepNext w:val="0"/>
        <w:keepLines w:val="0"/>
        <w:numPr>
          <w:ilvl w:val="0"/>
          <w:numId w:val="10"/>
        </w:numPr>
        <w:spacing w:before="0" w:after="160" w:line="280" w:lineRule="auto"/>
      </w:pPr>
      <w:r>
        <w:rPr>
          <w:rFonts w:ascii="Calibri" w:hAnsi="Calibri" w:eastAsia="Calibri"/>
          <w:color w:val="000000"/>
          <w:sz w:val="22"/>
        </w:rPr>
        <w:t>Open recovery findings past due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support: CP-related resilience is not a standalone NIST SP 800-171 Rev. 2 family, but backup protection and recovery support IR, SC, MP, and SSP risk treatment.</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800-34 Rev. 1, Contingency Planning Guide: https://doi.org/10.6028/NIST.SP.800-34r1</w:t>
      </w:r>
    </w:p>
    <w:p>
      <w:pPr>
        <w:keepNext w:val="0"/>
        <w:keepLines w:val="0"/>
        <w:numPr>
          <w:ilvl w:val="0"/>
          <w:numId w:val="10"/>
        </w:numPr>
        <w:spacing w:before="0" w:after="160" w:line="280" w:lineRule="auto"/>
      </w:pPr>
      <w:r>
        <w:rPr>
          <w:rFonts w:ascii="Calibri" w:hAnsi="Calibri" w:eastAsia="Calibri"/>
          <w:color w:val="000000"/>
          <w:sz w:val="22"/>
        </w:rPr>
        <w:t>NIST SP 800-184, Guide for Cybersecurity Event Recovery: https://doi.org/10.6028/NIST.SP.800-184</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Plan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Disaster Recovery Plan</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